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452F7B">
      <w:pPr>
        <w:keepNext w:val="0"/>
        <w:keepLines w:val="0"/>
        <w:widowControl/>
        <w:suppressLineNumbers w:val="0"/>
        <w:jc w:val="left"/>
      </w:pPr>
      <w:r>
        <w:rPr>
          <w:rFonts w:hint="eastAsia"/>
          <w:sz w:val="44"/>
          <w:szCs w:val="44"/>
          <w:lang w:val="en-US" w:eastAsia="zh-CN"/>
        </w:rPr>
        <w:t>鼎讯 手持式频谱分析仪 HD-200B</w:t>
      </w:r>
    </w:p>
    <w:p w14:paraId="402E1C48">
      <w:pPr>
        <w:jc w:val="center"/>
        <w:rPr>
          <w:rFonts w:hint="default"/>
          <w:sz w:val="44"/>
          <w:szCs w:val="44"/>
          <w:lang w:val="en-US" w:eastAsia="zh-CN"/>
        </w:rPr>
      </w:pPr>
    </w:p>
    <w:p w14:paraId="15B557CF">
      <w:pPr>
        <w:rPr>
          <w:sz w:val="21"/>
        </w:rPr>
      </w:pPr>
    </w:p>
    <w:p w14:paraId="27EAEAC6">
      <w:pPr>
        <w:rPr>
          <w:rFonts w:hint="eastAsia"/>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2450465</wp:posOffset>
                </wp:positionH>
                <wp:positionV relativeFrom="paragraph">
                  <wp:posOffset>98425</wp:posOffset>
                </wp:positionV>
                <wp:extent cx="2233930" cy="1637665"/>
                <wp:effectExtent l="4445" t="4445" r="9525" b="15240"/>
                <wp:wrapNone/>
                <wp:docPr id="6" name="文本框 6"/>
                <wp:cNvGraphicFramePr/>
                <a:graphic xmlns:a="http://schemas.openxmlformats.org/drawingml/2006/main">
                  <a:graphicData uri="http://schemas.microsoft.com/office/word/2010/wordprocessingShape">
                    <wps:wsp>
                      <wps:cNvSpPr txBox="1"/>
                      <wps:spPr>
                        <a:xfrm>
                          <a:off x="3620135" y="1231265"/>
                          <a:ext cx="2233930" cy="1637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BE035B">
                            <w:pPr>
                              <w:rPr>
                                <w:rFonts w:hint="eastAsia" w:eastAsia="微软雅黑"/>
                                <w:lang w:eastAsia="zh-CN"/>
                              </w:rPr>
                            </w:pPr>
                            <w:r>
                              <w:drawing>
                                <wp:inline distT="0" distB="0" distL="114300" distR="114300">
                                  <wp:extent cx="2042160" cy="174434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rcRect t="14583"/>
                                          <a:stretch>
                                            <a:fillRect/>
                                          </a:stretch>
                                        </pic:blipFill>
                                        <pic:spPr>
                                          <a:xfrm>
                                            <a:off x="0" y="0"/>
                                            <a:ext cx="2042160" cy="17443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95pt;margin-top:7.75pt;height:128.95pt;width:175.9pt;z-index:251659264;mso-width-relative:page;mso-height-relative:page;" fillcolor="#FFFFFF [3201]" filled="t" stroked="t" coordsize="21600,21600" o:gfxdata="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QaOmdcAAAAKAQAADwAAAAAAAAABACAAAAAiAAAAZHJzL2Rvd25yZXYueG1sUEsBAhQA&#10;FAAAAAgAh07iQO0rWAZlAgAAxAQAAA4AAAAAAAAAAQAgAAAAJgEAAGRycy9lMm9Eb2MueG1sUEsF&#10;BgAAAAAGAAYAWQEAAP0FAAAAAA==&#10;">
                <v:fill on="t" focussize="0,0"/>
                <v:stroke weight="0.5pt" color="#000000 [3204]" joinstyle="round"/>
                <v:imagedata o:title=""/>
                <o:lock v:ext="edit" aspectratio="f"/>
                <v:textbox>
                  <w:txbxContent>
                    <w:p w14:paraId="6FBE035B">
                      <w:pPr>
                        <w:rPr>
                          <w:rFonts w:hint="eastAsia" w:eastAsia="微软雅黑"/>
                          <w:lang w:eastAsia="zh-CN"/>
                        </w:rPr>
                      </w:pPr>
                      <w:r>
                        <w:drawing>
                          <wp:inline distT="0" distB="0" distL="114300" distR="114300">
                            <wp:extent cx="2042160" cy="174434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rcRect t="14583"/>
                                    <a:stretch>
                                      <a:fillRect/>
                                    </a:stretch>
                                  </pic:blipFill>
                                  <pic:spPr>
                                    <a:xfrm>
                                      <a:off x="0" y="0"/>
                                      <a:ext cx="2042160" cy="1744345"/>
                                    </a:xfrm>
                                    <a:prstGeom prst="rect">
                                      <a:avLst/>
                                    </a:prstGeom>
                                    <a:noFill/>
                                    <a:ln>
                                      <a:noFill/>
                                    </a:ln>
                                  </pic:spPr>
                                </pic:pic>
                              </a:graphicData>
                            </a:graphic>
                          </wp:inline>
                        </w:drawing>
                      </w:r>
                    </w:p>
                  </w:txbxContent>
                </v:textbox>
              </v:shape>
            </w:pict>
          </mc:Fallback>
        </mc:AlternateContent>
      </w:r>
    </w:p>
    <w:p w14:paraId="7C23645C">
      <w:pPr>
        <w:keepNext w:val="0"/>
        <w:keepLines w:val="0"/>
        <w:widowControl/>
        <w:suppressLineNumbers w:val="0"/>
        <w:jc w:val="left"/>
        <w:rPr>
          <w:rFonts w:hint="default"/>
          <w:lang w:val="en-US" w:eastAsia="zh-CN"/>
        </w:rPr>
      </w:pPr>
      <w:r>
        <w:rPr>
          <w:rFonts w:hint="eastAsia"/>
          <w:lang w:val="en-US" w:eastAsia="zh-CN"/>
        </w:rPr>
        <w:t>名称：手持式频谱分析仪</w:t>
      </w:r>
    </w:p>
    <w:p w14:paraId="54149E44">
      <w:pPr>
        <w:keepNext w:val="0"/>
        <w:keepLines w:val="0"/>
        <w:widowControl/>
        <w:suppressLineNumbers w:val="0"/>
        <w:jc w:val="left"/>
        <w:rPr>
          <w:rFonts w:hint="default"/>
          <w:lang w:val="en-US" w:eastAsia="zh-CN"/>
        </w:rPr>
      </w:pPr>
      <w:r>
        <w:rPr>
          <w:rFonts w:hint="eastAsia"/>
          <w:lang w:val="en-US" w:eastAsia="zh-CN"/>
        </w:rPr>
        <w:t>型号：HD-200B</w:t>
      </w:r>
    </w:p>
    <w:p w14:paraId="446BE89C">
      <w:pPr>
        <w:rPr>
          <w:rFonts w:hint="eastAsia"/>
          <w:lang w:val="en-US" w:eastAsia="zh-CN"/>
        </w:rPr>
      </w:pPr>
      <w:r>
        <w:rPr>
          <w:rFonts w:hint="eastAsia"/>
          <w:lang w:val="en-US" w:eastAsia="zh-CN"/>
        </w:rPr>
        <w:t>品牌：鼎讯</w:t>
      </w:r>
    </w:p>
    <w:p w14:paraId="4C180C7E">
      <w:pPr>
        <w:rPr>
          <w:rFonts w:hint="eastAsia"/>
          <w:lang w:val="en-US" w:eastAsia="zh-CN"/>
        </w:rPr>
      </w:pPr>
      <w:r>
        <w:rPr>
          <w:rFonts w:hint="eastAsia"/>
          <w:lang w:val="en-US" w:eastAsia="zh-CN"/>
        </w:rPr>
        <w:t>公司：成都鼎讯信通科技有限公司</w:t>
      </w:r>
    </w:p>
    <w:p w14:paraId="3ADEC39D">
      <w:pPr>
        <w:rPr>
          <w:rFonts w:hint="default"/>
          <w:lang w:val="en-US" w:eastAsia="zh-CN"/>
        </w:rPr>
      </w:pPr>
      <w:r>
        <w:rPr>
          <w:rFonts w:hint="eastAsia"/>
          <w:lang w:val="en-US" w:eastAsia="zh-CN"/>
        </w:rPr>
        <w:t>官网:www.dingxunacnn.com</w:t>
      </w:r>
    </w:p>
    <w:p w14:paraId="5F26B063">
      <w:pPr>
        <w:rPr>
          <w:rFonts w:hint="eastAsia"/>
          <w:lang w:val="en-US" w:eastAsia="zh-CN"/>
        </w:rPr>
      </w:pPr>
    </w:p>
    <w:p w14:paraId="37EA01C2">
      <w:pPr>
        <w:rPr>
          <w:rFonts w:hint="eastAsia"/>
          <w:b/>
          <w:bCs/>
          <w:sz w:val="24"/>
          <w:szCs w:val="24"/>
          <w:lang w:val="en-US" w:eastAsia="zh-CN"/>
        </w:rPr>
      </w:pPr>
      <w:r>
        <w:rPr>
          <w:rFonts w:hint="eastAsia"/>
          <w:b/>
          <w:bCs/>
          <w:sz w:val="24"/>
          <w:szCs w:val="24"/>
          <w:lang w:val="en-US" w:eastAsia="zh-CN"/>
        </w:rPr>
        <w:t>一、产品概述</w:t>
      </w:r>
    </w:p>
    <w:p w14:paraId="6DF8B72C">
      <w:pPr>
        <w:numPr>
          <w:ilvl w:val="0"/>
          <w:numId w:val="0"/>
        </w:numPr>
        <w:ind w:firstLine="420" w:firstLineChars="200"/>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频谱分析仪是宽频带、高性能的便携式频谱分析仪，测量频率覆盖5kHz~8GHz/9kHz~20GHz/9kHz~26.5GHz, 可同时适用于室内现场和户外环境使用。产品采用</w:t>
      </w:r>
      <w:r>
        <w:rPr>
          <w:rFonts w:hint="default" w:ascii="Arial" w:hAnsi="Arial" w:eastAsia="微软雅黑" w:cs="Times New Roman"/>
          <w:kern w:val="2"/>
          <w:sz w:val="21"/>
          <w:szCs w:val="24"/>
          <w:lang w:val="en-US" w:eastAsia="zh-CN" w:bidi="ar-SA"/>
        </w:rPr>
        <w:t>10 . 1</w:t>
      </w:r>
      <w:r>
        <w:rPr>
          <w:rFonts w:hint="eastAsia" w:ascii="Arial" w:hAnsi="Arial" w:eastAsia="微软雅黑" w:cs="Times New Roman"/>
          <w:kern w:val="2"/>
          <w:sz w:val="21"/>
          <w:szCs w:val="24"/>
          <w:lang w:val="en-US" w:eastAsia="zh-CN" w:bidi="ar-SA"/>
        </w:rPr>
        <w:t>寸</w:t>
      </w:r>
      <w:r>
        <w:rPr>
          <w:rFonts w:hint="default" w:ascii="Arial" w:hAnsi="Arial" w:eastAsia="微软雅黑" w:cs="Times New Roman"/>
          <w:kern w:val="2"/>
          <w:sz w:val="21"/>
          <w:szCs w:val="24"/>
          <w:lang w:val="en-US" w:eastAsia="zh-CN" w:bidi="ar-SA"/>
        </w:rPr>
        <w:t>LED</w:t>
      </w:r>
      <w:r>
        <w:rPr>
          <w:rFonts w:hint="eastAsia" w:ascii="Arial" w:hAnsi="Arial" w:eastAsia="微软雅黑" w:cs="Times New Roman"/>
          <w:kern w:val="2"/>
          <w:sz w:val="21"/>
          <w:szCs w:val="24"/>
          <w:lang w:val="en-US" w:eastAsia="zh-CN" w:bidi="ar-SA"/>
        </w:rPr>
        <w:t>背光高亮度显示屏，支持多点触控操作。主要技术指标可媲美台 式频谱仪，高达</w:t>
      </w:r>
      <w:r>
        <w:rPr>
          <w:rFonts w:hint="default" w:ascii="Arial" w:hAnsi="Arial" w:eastAsia="微软雅黑" w:cs="Times New Roman"/>
          <w:kern w:val="2"/>
          <w:sz w:val="21"/>
          <w:szCs w:val="24"/>
          <w:lang w:val="en-US" w:eastAsia="zh-CN" w:bidi="ar-SA"/>
        </w:rPr>
        <w:t>80dB</w:t>
      </w:r>
      <w:r>
        <w:rPr>
          <w:rFonts w:hint="eastAsia" w:ascii="Arial" w:hAnsi="Arial" w:eastAsia="微软雅黑" w:cs="Times New Roman"/>
          <w:kern w:val="2"/>
          <w:sz w:val="21"/>
          <w:szCs w:val="24"/>
          <w:lang w:val="en-US" w:eastAsia="zh-CN" w:bidi="ar-SA"/>
        </w:rPr>
        <w:t>的中镜频抑制和极小的剩余响应指标使其满足无线电监测的更高需求。最大</w:t>
      </w:r>
      <w:r>
        <w:rPr>
          <w:rFonts w:hint="default" w:ascii="Arial" w:hAnsi="Arial" w:eastAsia="微软雅黑" w:cs="Times New Roman"/>
          <w:kern w:val="2"/>
          <w:sz w:val="21"/>
          <w:szCs w:val="24"/>
          <w:lang w:val="en-US" w:eastAsia="zh-CN" w:bidi="ar-SA"/>
        </w:rPr>
        <w:t xml:space="preserve">40MHz </w:t>
      </w:r>
      <w:r>
        <w:rPr>
          <w:rFonts w:hint="eastAsia" w:ascii="Arial" w:hAnsi="Arial" w:eastAsia="微软雅黑" w:cs="Times New Roman"/>
          <w:kern w:val="2"/>
          <w:sz w:val="21"/>
          <w:szCs w:val="24"/>
          <w:lang w:val="en-US" w:eastAsia="zh-CN" w:bidi="ar-SA"/>
        </w:rPr>
        <w:t xml:space="preserve">的实时带宽满足移动通信、电视和 </w:t>
      </w:r>
      <w:r>
        <w:rPr>
          <w:rFonts w:hint="default" w:ascii="Arial" w:hAnsi="Arial" w:eastAsia="微软雅黑" w:cs="Times New Roman"/>
          <w:kern w:val="2"/>
          <w:sz w:val="21"/>
          <w:szCs w:val="24"/>
          <w:lang w:val="en-US" w:eastAsia="zh-CN" w:bidi="ar-SA"/>
        </w:rPr>
        <w:t>WiFi</w:t>
      </w:r>
      <w:r>
        <w:rPr>
          <w:rFonts w:hint="eastAsia" w:ascii="Arial" w:hAnsi="Arial" w:eastAsia="微软雅黑" w:cs="Times New Roman"/>
          <w:kern w:val="2"/>
          <w:sz w:val="21"/>
          <w:szCs w:val="24"/>
          <w:lang w:val="en-US" w:eastAsia="zh-CN" w:bidi="ar-SA"/>
        </w:rPr>
        <w:t xml:space="preserve">等常用无线电信号的测试。 </w:t>
      </w:r>
    </w:p>
    <w:p w14:paraId="1A92159D">
      <w:pPr>
        <w:numPr>
          <w:ilvl w:val="0"/>
          <w:numId w:val="0"/>
        </w:numPr>
        <w:ind w:firstLine="420" w:firstLineChars="200"/>
        <w:rPr>
          <w:rFonts w:hint="eastAsia"/>
          <w:lang w:val="en-US" w:eastAsia="zh-CN"/>
        </w:rPr>
      </w:pPr>
      <w:r>
        <w:rPr>
          <w:rFonts w:hint="eastAsia" w:ascii="Arial" w:hAnsi="Arial" w:eastAsia="微软雅黑" w:cs="Times New Roman"/>
          <w:kern w:val="2"/>
          <w:sz w:val="21"/>
          <w:szCs w:val="24"/>
          <w:lang w:val="en-US" w:eastAsia="zh-CN" w:bidi="ar-SA"/>
        </w:rPr>
        <w:t>具有频谱分析、网络测量、场强测量、信道扫描、三阶互调、谐波失真、载噪比和</w:t>
      </w:r>
      <w:r>
        <w:rPr>
          <w:rFonts w:hint="default" w:ascii="Arial" w:hAnsi="Arial" w:eastAsia="微软雅黑" w:cs="Times New Roman"/>
          <w:kern w:val="2"/>
          <w:sz w:val="21"/>
          <w:szCs w:val="24"/>
          <w:lang w:val="en-US" w:eastAsia="zh-CN" w:bidi="ar-SA"/>
        </w:rPr>
        <w:t xml:space="preserve">Pass-Fail </w:t>
      </w:r>
      <w:r>
        <w:rPr>
          <w:rFonts w:hint="eastAsia" w:ascii="Arial" w:hAnsi="Arial" w:eastAsia="微软雅黑" w:cs="Times New Roman"/>
          <w:kern w:val="2"/>
          <w:sz w:val="21"/>
          <w:szCs w:val="24"/>
          <w:lang w:val="en-US" w:eastAsia="zh-CN" w:bidi="ar-SA"/>
        </w:rPr>
        <w:t xml:space="preserve">等多种智能化测量功能， 内置 </w:t>
      </w:r>
      <w:r>
        <w:rPr>
          <w:rFonts w:hint="default" w:ascii="Arial" w:hAnsi="Arial" w:eastAsia="微软雅黑" w:cs="Times New Roman"/>
          <w:kern w:val="2"/>
          <w:sz w:val="21"/>
          <w:szCs w:val="24"/>
          <w:lang w:val="en-US" w:eastAsia="zh-CN" w:bidi="ar-SA"/>
        </w:rPr>
        <w:t xml:space="preserve">GPS/BD </w:t>
      </w:r>
      <w:r>
        <w:rPr>
          <w:rFonts w:hint="eastAsia" w:ascii="Arial" w:hAnsi="Arial" w:eastAsia="微软雅黑" w:cs="Times New Roman"/>
          <w:kern w:val="2"/>
          <w:sz w:val="21"/>
          <w:szCs w:val="24"/>
          <w:lang w:val="en-US" w:eastAsia="zh-CN" w:bidi="ar-SA"/>
        </w:rPr>
        <w:t>功能模块适合野外使用。产品广泛应用于航空航天、微波通信、卫星导航、雷达检测、电子侦测与对抗、精确制导等各种领域。</w:t>
      </w:r>
    </w:p>
    <w:p w14:paraId="78E1CF09">
      <w:pPr>
        <w:rPr>
          <w:rFonts w:hint="default"/>
          <w:lang w:val="en-US" w:eastAsia="zh-CN"/>
        </w:rPr>
      </w:pPr>
    </w:p>
    <w:p w14:paraId="783A3018">
      <w:pPr>
        <w:numPr>
          <w:ilvl w:val="0"/>
          <w:numId w:val="0"/>
        </w:num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二、</w:t>
      </w:r>
      <w:r>
        <w:rPr>
          <w:rFonts w:hint="eastAsia"/>
          <w:b/>
          <w:bCs/>
          <w:sz w:val="24"/>
          <w:szCs w:val="24"/>
          <w:lang w:val="en-US" w:eastAsia="zh-CN"/>
        </w:rPr>
        <w:t>产品特点</w:t>
      </w:r>
    </w:p>
    <w:p w14:paraId="2FC35AF2">
      <w:pPr>
        <w:numPr>
          <w:ilvl w:val="0"/>
          <w:numId w:val="0"/>
        </w:numPr>
        <w:ind w:leftChars="0"/>
        <w:rPr>
          <w:rFonts w:hint="eastAsia"/>
          <w:lang w:val="en-US" w:eastAsia="zh-CN"/>
        </w:rPr>
      </w:pPr>
      <w:r>
        <w:rPr>
          <w:rFonts w:hint="eastAsia"/>
          <w:lang w:val="en-US" w:eastAsia="zh-CN"/>
        </w:rPr>
        <w:t xml:space="preserve">1、强劲的内核 </w:t>
      </w:r>
    </w:p>
    <w:p w14:paraId="78B0656A">
      <w:pPr>
        <w:numPr>
          <w:ilvl w:val="0"/>
          <w:numId w:val="0"/>
        </w:numPr>
        <w:ind w:leftChars="0"/>
        <w:rPr>
          <w:rFonts w:hint="eastAsia"/>
          <w:lang w:val="en-US" w:eastAsia="zh-CN"/>
        </w:rPr>
      </w:pPr>
      <w:r>
        <w:rPr>
          <w:rFonts w:hint="eastAsia"/>
          <w:lang w:val="en-US" w:eastAsia="zh-CN"/>
        </w:rPr>
        <w:t xml:space="preserve">----突破性的小尺寸、低重量、低功耗，同时具有均衡且优良的射频性能与分析能力。 </w:t>
      </w:r>
    </w:p>
    <w:p w14:paraId="23B43BFD">
      <w:pPr>
        <w:numPr>
          <w:ilvl w:val="0"/>
          <w:numId w:val="0"/>
        </w:numPr>
        <w:ind w:leftChars="0"/>
        <w:rPr>
          <w:rFonts w:hint="eastAsia"/>
          <w:lang w:val="en-US" w:eastAsia="zh-CN"/>
        </w:rPr>
      </w:pPr>
      <w:r>
        <w:rPr>
          <w:rFonts w:hint="eastAsia"/>
          <w:lang w:val="en-US" w:eastAsia="zh-CN"/>
        </w:rPr>
        <w:t xml:space="preserve">2、高速分析与真实时频谱 </w:t>
      </w:r>
    </w:p>
    <w:p w14:paraId="51A9E8B7">
      <w:pPr>
        <w:numPr>
          <w:ilvl w:val="0"/>
          <w:numId w:val="0"/>
        </w:numPr>
        <w:ind w:leftChars="0"/>
        <w:rPr>
          <w:rFonts w:hint="eastAsia"/>
          <w:lang w:val="en-US" w:eastAsia="zh-CN"/>
        </w:rPr>
      </w:pPr>
      <w:r>
        <w:rPr>
          <w:rFonts w:hint="eastAsia"/>
          <w:lang w:val="en-US" w:eastAsia="zh-CN"/>
        </w:rPr>
        <w:t xml:space="preserve">----高达 100MHz 带宽的信号完成实时频谱分析，并实现 </w:t>
      </w:r>
      <w:r>
        <w:rPr>
          <w:rFonts w:hint="default"/>
          <w:lang w:val="en-US" w:eastAsia="zh-CN"/>
        </w:rPr>
        <w:t xml:space="preserve">THz/s </w:t>
      </w:r>
      <w:r>
        <w:rPr>
          <w:rFonts w:hint="eastAsia"/>
          <w:lang w:val="en-US" w:eastAsia="zh-CN"/>
        </w:rPr>
        <w:t xml:space="preserve">级的高速扫描。 </w:t>
      </w:r>
    </w:p>
    <w:p w14:paraId="1517FFDA">
      <w:pPr>
        <w:numPr>
          <w:ilvl w:val="0"/>
          <w:numId w:val="0"/>
        </w:numPr>
        <w:ind w:leftChars="0"/>
        <w:rPr>
          <w:rFonts w:hint="eastAsia"/>
          <w:lang w:val="en-US" w:eastAsia="zh-CN"/>
        </w:rPr>
      </w:pPr>
      <w:r>
        <w:rPr>
          <w:rFonts w:hint="eastAsia"/>
          <w:lang w:val="en-US" w:eastAsia="zh-CN"/>
        </w:rPr>
        <w:t xml:space="preserve">3、极致便携的手持设备 </w:t>
      </w:r>
    </w:p>
    <w:p w14:paraId="1AE1A12D">
      <w:pPr>
        <w:numPr>
          <w:ilvl w:val="0"/>
          <w:numId w:val="0"/>
        </w:numPr>
        <w:ind w:leftChars="0"/>
        <w:rPr>
          <w:rFonts w:hint="eastAsia"/>
          <w:lang w:val="en-US" w:eastAsia="zh-CN"/>
        </w:rPr>
      </w:pPr>
      <w:r>
        <w:rPr>
          <w:rFonts w:hint="eastAsia"/>
          <w:lang w:val="en-US" w:eastAsia="zh-CN"/>
        </w:rPr>
        <w:t>----仅重 1.5kg，配置有侧边手带，可方便地单手握持，支持挂带与无手扶作业。</w:t>
      </w:r>
    </w:p>
    <w:p w14:paraId="77F05617">
      <w:pPr>
        <w:numPr>
          <w:ilvl w:val="0"/>
          <w:numId w:val="0"/>
        </w:numPr>
        <w:ind w:leftChars="0"/>
        <w:rPr>
          <w:rFonts w:hint="eastAsia"/>
          <w:lang w:val="en-US" w:eastAsia="zh-CN"/>
        </w:rPr>
      </w:pPr>
      <w:r>
        <w:rPr>
          <w:rFonts w:hint="eastAsia"/>
          <w:lang w:val="en-US" w:eastAsia="zh-CN"/>
        </w:rPr>
        <w:t xml:space="preserve">4、优秀的续航能力 </w:t>
      </w:r>
    </w:p>
    <w:p w14:paraId="303C2AD3">
      <w:pPr>
        <w:numPr>
          <w:ilvl w:val="0"/>
          <w:numId w:val="0"/>
        </w:numPr>
        <w:ind w:leftChars="0"/>
        <w:rPr>
          <w:rFonts w:hint="eastAsia"/>
          <w:lang w:val="en-US" w:eastAsia="zh-CN"/>
        </w:rPr>
      </w:pPr>
      <w:r>
        <w:rPr>
          <w:rFonts w:hint="eastAsia"/>
          <w:lang w:val="en-US" w:eastAsia="zh-CN"/>
        </w:rPr>
        <w:t xml:space="preserve">----标准电池容量可提供 3 小时以上的典型工作时间，并支持通过充电宝扩展至超长续航。 </w:t>
      </w:r>
    </w:p>
    <w:p w14:paraId="4D292A17">
      <w:pPr>
        <w:numPr>
          <w:ilvl w:val="0"/>
          <w:numId w:val="0"/>
        </w:numPr>
        <w:ind w:leftChars="0"/>
        <w:rPr>
          <w:rFonts w:hint="eastAsia"/>
          <w:lang w:val="en-US" w:eastAsia="zh-CN"/>
        </w:rPr>
      </w:pPr>
      <w:r>
        <w:rPr>
          <w:rFonts w:hint="eastAsia"/>
          <w:lang w:val="en-US" w:eastAsia="zh-CN"/>
        </w:rPr>
        <w:t xml:space="preserve">5、高效的工作站 </w:t>
      </w:r>
    </w:p>
    <w:p w14:paraId="13F46F97">
      <w:pPr>
        <w:numPr>
          <w:ilvl w:val="0"/>
          <w:numId w:val="0"/>
        </w:numPr>
        <w:ind w:leftChars="0"/>
        <w:rPr>
          <w:rFonts w:hint="eastAsia"/>
          <w:lang w:val="en-US" w:eastAsia="zh-CN"/>
        </w:rPr>
      </w:pPr>
      <w:r>
        <w:rPr>
          <w:rFonts w:hint="eastAsia"/>
          <w:lang w:val="en-US" w:eastAsia="zh-CN"/>
        </w:rPr>
        <w:t xml:space="preserve">----频谱仪测量软件 </w:t>
      </w:r>
      <w:r>
        <w:rPr>
          <w:rFonts w:hint="default"/>
          <w:lang w:val="en-US" w:eastAsia="zh-CN"/>
        </w:rPr>
        <w:t xml:space="preserve">SAStudio4 </w:t>
      </w:r>
      <w:r>
        <w:rPr>
          <w:rFonts w:hint="eastAsia"/>
          <w:lang w:val="en-US" w:eastAsia="zh-CN"/>
        </w:rPr>
        <w:t xml:space="preserve">提供了专门的工作站模式，优化鼠标键盘操作与多显示器呈现，使 </w:t>
      </w:r>
      <w:r>
        <w:rPr>
          <w:rFonts w:hint="default"/>
          <w:lang w:val="en-US" w:eastAsia="zh-CN"/>
        </w:rPr>
        <w:t xml:space="preserve">PX </w:t>
      </w:r>
      <w:r>
        <w:rPr>
          <w:rFonts w:hint="eastAsia"/>
          <w:lang w:val="en-US" w:eastAsia="zh-CN"/>
        </w:rPr>
        <w:t xml:space="preserve">产品成为高效的桌面射频工作站。 </w:t>
      </w:r>
    </w:p>
    <w:p w14:paraId="5AB7364E">
      <w:pPr>
        <w:numPr>
          <w:ilvl w:val="0"/>
          <w:numId w:val="0"/>
        </w:numPr>
        <w:ind w:leftChars="0"/>
        <w:rPr>
          <w:rFonts w:hint="eastAsia"/>
          <w:lang w:val="en-US" w:eastAsia="zh-CN"/>
        </w:rPr>
      </w:pPr>
      <w:r>
        <w:rPr>
          <w:rFonts w:hint="eastAsia"/>
          <w:lang w:val="en-US" w:eastAsia="zh-CN"/>
        </w:rPr>
        <w:t xml:space="preserve">6、超大屏体验 </w:t>
      </w:r>
    </w:p>
    <w:p w14:paraId="763C0390">
      <w:pPr>
        <w:numPr>
          <w:ilvl w:val="0"/>
          <w:numId w:val="0"/>
        </w:numPr>
        <w:ind w:leftChars="0"/>
        <w:rPr>
          <w:rFonts w:hint="default"/>
          <w:lang w:val="en-US" w:eastAsia="zh-CN"/>
        </w:rPr>
      </w:pPr>
      <w:r>
        <w:rPr>
          <w:rFonts w:hint="eastAsia"/>
          <w:lang w:val="en-US" w:eastAsia="zh-CN"/>
        </w:rPr>
        <w:t>----10.1 寸触控屏提供了良好的交互体验。</w:t>
      </w:r>
    </w:p>
    <w:p w14:paraId="638B7A37">
      <w:pPr>
        <w:numPr>
          <w:ilvl w:val="0"/>
          <w:numId w:val="0"/>
        </w:numPr>
        <w:ind w:left="0" w:leftChars="0" w:firstLine="0" w:firstLineChars="0"/>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三、</w:t>
      </w:r>
      <w:r>
        <w:rPr>
          <w:rFonts w:hint="eastAsia" w:cs="Times New Roman"/>
          <w:b/>
          <w:bCs/>
          <w:kern w:val="2"/>
          <w:sz w:val="24"/>
          <w:szCs w:val="24"/>
          <w:lang w:val="en-US" w:eastAsia="zh-CN" w:bidi="ar-SA"/>
        </w:rPr>
        <w:t>设备</w:t>
      </w:r>
      <w:r>
        <w:rPr>
          <w:rFonts w:hint="eastAsia"/>
          <w:b/>
          <w:bCs/>
          <w:sz w:val="24"/>
          <w:szCs w:val="24"/>
          <w:lang w:val="en-US" w:eastAsia="zh-CN"/>
        </w:rPr>
        <w:t>参数</w:t>
      </w:r>
    </w:p>
    <w:p w14:paraId="26BA5254">
      <w:pPr>
        <w:numPr>
          <w:ilvl w:val="0"/>
          <w:numId w:val="0"/>
        </w:numPr>
        <w:ind w:leftChars="0"/>
        <w:rPr>
          <w:rFonts w:hint="eastAsia"/>
          <w:lang w:val="en-US" w:eastAsia="zh-CN"/>
        </w:rPr>
      </w:pPr>
      <w:r>
        <w:rPr>
          <w:rFonts w:hint="eastAsia"/>
          <w:lang w:val="en-US" w:eastAsia="zh-CN"/>
        </w:rPr>
        <w:t xml:space="preserve">*频率范围：9kHz~20GHz </w:t>
      </w:r>
    </w:p>
    <w:p w14:paraId="1C735AE4">
      <w:pPr>
        <w:numPr>
          <w:ilvl w:val="0"/>
          <w:numId w:val="0"/>
        </w:numPr>
        <w:ind w:leftChars="0"/>
        <w:rPr>
          <w:rFonts w:hint="eastAsia"/>
          <w:lang w:val="en-US" w:eastAsia="zh-CN"/>
        </w:rPr>
      </w:pPr>
      <w:r>
        <w:rPr>
          <w:rFonts w:hint="eastAsia"/>
          <w:lang w:val="en-US" w:eastAsia="zh-CN"/>
        </w:rPr>
        <w:t xml:space="preserve">*初始频率精度：&lt;1 ppm，支持程序手动修正 </w:t>
      </w:r>
    </w:p>
    <w:p w14:paraId="51E661E4">
      <w:pPr>
        <w:numPr>
          <w:ilvl w:val="0"/>
          <w:numId w:val="0"/>
        </w:numPr>
        <w:ind w:leftChars="0"/>
        <w:rPr>
          <w:rFonts w:hint="eastAsia"/>
          <w:lang w:val="en-US" w:eastAsia="zh-CN"/>
        </w:rPr>
      </w:pPr>
      <w:r>
        <w:rPr>
          <w:rFonts w:hint="eastAsia"/>
          <w:lang w:val="en-US" w:eastAsia="zh-CN"/>
        </w:rPr>
        <w:t>*参考时钟：内部或外部 ，程控切换；内部 TCXO 老化 &lt;1 ppm/年 ，温漂 &lt;1 ppm；内部 OCXO（选件），温漂 &lt;0.15 ppm</w:t>
      </w:r>
    </w:p>
    <w:p w14:paraId="0C71F161">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 xml:space="preserve">单边带相位噪声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d Bc/Hz</w:t>
      </w:r>
    </w:p>
    <w:p w14:paraId="7BD78A65">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载波频率</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500MHz</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1GHz</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3GHz</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6GHz</w:t>
      </w:r>
    </w:p>
    <w:p w14:paraId="7A652AB1">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 xml:space="preserve">1kHz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-112.8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-107.5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-99.3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-93.1</w:t>
      </w:r>
    </w:p>
    <w:p w14:paraId="7C94B070">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10kHz</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-120.6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-114.2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-103.6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-101.2 </w:t>
      </w:r>
    </w:p>
    <w:p w14:paraId="271C1CAA">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 xml:space="preserve">100kHz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-120.1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-112.5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-101.8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-99.3 </w:t>
      </w:r>
    </w:p>
    <w:p w14:paraId="663FFF3F">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 xml:space="preserve">1MHz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-134.1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-132.8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-127.7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-122.7</w:t>
      </w:r>
    </w:p>
    <w:p w14:paraId="53D593FF">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 xml:space="preserve">频率范围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R.L.=0 dBm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R.L. =-20 dBm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R.L. =-50 dBm</w:t>
      </w:r>
    </w:p>
    <w:p w14:paraId="29FB8D0D">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ascii="微软雅黑" w:hAnsi="微软雅黑" w:eastAsia="微软雅黑" w:cs="微软雅黑"/>
          <w:color w:val="000000"/>
          <w:kern w:val="0"/>
          <w:sz w:val="18"/>
          <w:szCs w:val="18"/>
          <w:lang w:val="en-US" w:eastAsia="zh-CN" w:bidi="ar"/>
        </w:rPr>
        <w:t>100kHz~100MH</w:t>
      </w:r>
      <w:r>
        <w:rPr>
          <w:rFonts w:hint="eastAsia" w:ascii="微软雅黑" w:hAnsi="微软雅黑" w:eastAsia="微软雅黑" w:cs="微软雅黑"/>
          <w:color w:val="000000"/>
          <w:kern w:val="0"/>
          <w:sz w:val="18"/>
          <w:szCs w:val="18"/>
          <w:lang w:val="en-US" w:eastAsia="zh-CN" w:bidi="ar"/>
        </w:rPr>
        <w:t xml:space="preserve">z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-90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-104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-132</w:t>
      </w:r>
    </w:p>
    <w:p w14:paraId="7CEE6E50">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ascii="微软雅黑" w:hAnsi="微软雅黑" w:eastAsia="微软雅黑" w:cs="微软雅黑"/>
          <w:color w:val="000000"/>
          <w:kern w:val="0"/>
          <w:sz w:val="18"/>
          <w:szCs w:val="18"/>
          <w:lang w:val="en-US" w:eastAsia="zh-CN" w:bidi="ar"/>
        </w:rPr>
        <w:t>100MHz~6.3GH</w:t>
      </w:r>
      <w:r>
        <w:rPr>
          <w:rFonts w:hint="eastAsia" w:ascii="微软雅黑" w:hAnsi="微软雅黑" w:eastAsia="微软雅黑" w:cs="微软雅黑"/>
          <w:color w:val="000000"/>
          <w:kern w:val="0"/>
          <w:sz w:val="18"/>
          <w:szCs w:val="18"/>
          <w:lang w:val="en-US" w:eastAsia="zh-CN" w:bidi="ar"/>
        </w:rPr>
        <w:t xml:space="preserve">z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-90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-103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-111</w:t>
      </w:r>
    </w:p>
    <w:p w14:paraId="6C4AE663">
      <w:pPr>
        <w:keepNext w:val="0"/>
        <w:keepLines w:val="0"/>
        <w:widowControl/>
        <w:suppressLineNumbers w:val="0"/>
        <w:jc w:val="left"/>
      </w:pPr>
      <w:r>
        <w:rPr>
          <w:rFonts w:ascii="微软雅黑" w:hAnsi="微软雅黑" w:eastAsia="微软雅黑" w:cs="微软雅黑"/>
          <w:color w:val="000000"/>
          <w:kern w:val="0"/>
          <w:sz w:val="18"/>
          <w:szCs w:val="18"/>
          <w:lang w:val="en-US" w:eastAsia="zh-CN" w:bidi="ar"/>
        </w:rPr>
        <w:t>100kHz~100MH</w:t>
      </w:r>
      <w:r>
        <w:rPr>
          <w:rFonts w:hint="eastAsia" w:ascii="微软雅黑" w:hAnsi="微软雅黑" w:eastAsia="微软雅黑" w:cs="微软雅黑"/>
          <w:color w:val="000000"/>
          <w:kern w:val="0"/>
          <w:sz w:val="18"/>
          <w:szCs w:val="18"/>
          <w:lang w:val="en-US" w:eastAsia="zh-CN" w:bidi="ar"/>
        </w:rPr>
        <w:t xml:space="preserve">z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-79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-97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-120 </w:t>
      </w:r>
    </w:p>
    <w:p w14:paraId="393ED911">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 xml:space="preserve">100MHz~6.3GHz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-90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-103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-111</w:t>
      </w:r>
    </w:p>
    <w:p w14:paraId="7EF8BED1">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镜频抑制</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&gt;90dBc(杂散抑制开启，典型值)，&gt;35dBc(杂散抑制关闭，典型值) </w:t>
      </w:r>
    </w:p>
    <w:p w14:paraId="73C69859">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本振相关杂散</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&lt;-65dBc（偏离中心频率+/-（ N/M）*125MHz, N、M = 1,2,3,4,5…）</w:t>
      </w:r>
    </w:p>
    <w:p w14:paraId="19028204">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分析带宽</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最大 100MHz，1 抽取 </w:t>
      </w:r>
    </w:p>
    <w:p w14:paraId="50894383">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IQ 数据</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125MSPS，FPGA 支持 1,2,4,8,16,32,64,128,256,512,1024,2048,4096 抽取 </w:t>
      </w:r>
    </w:p>
    <w:p w14:paraId="6C081847">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存储深度</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内置存储器深度为 128Mbytes</w:t>
      </w:r>
    </w:p>
    <w:p w14:paraId="2A9DC3A7">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外触发响应</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最高响应频度 500 次/秒 </w:t>
      </w:r>
    </w:p>
    <w:p w14:paraId="77791F54">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模拟中频输出</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不支持。</w:t>
      </w:r>
    </w:p>
    <w:p w14:paraId="2671327D">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毁损输入功率（连续波）</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26dBm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30MHz~6.3GHz 且 预放关闭（参考电平≥0dBm） </w:t>
      </w:r>
    </w:p>
    <w:p w14:paraId="1DA30BC5">
      <w:pPr>
        <w:keepNext w:val="0"/>
        <w:keepLines w:val="0"/>
        <w:widowControl/>
        <w:suppressLineNumbers w:val="0"/>
        <w:ind w:firstLine="2160" w:firstLineChars="1200"/>
        <w:jc w:val="left"/>
      </w:pPr>
      <w:r>
        <w:rPr>
          <w:rFonts w:hint="eastAsia" w:ascii="微软雅黑" w:hAnsi="微软雅黑" w:eastAsia="微软雅黑" w:cs="微软雅黑"/>
          <w:color w:val="000000"/>
          <w:kern w:val="0"/>
          <w:sz w:val="18"/>
          <w:szCs w:val="18"/>
          <w:lang w:val="en-US" w:eastAsia="zh-CN" w:bidi="ar"/>
        </w:rPr>
        <w:t xml:space="preserve">10dBm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9kHz~30MHz 或 预放开启（参考电平＜0dBm） </w:t>
      </w:r>
    </w:p>
    <w:p w14:paraId="22248F29">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最大直流电压</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+/-15 VDC </w:t>
      </w:r>
    </w:p>
    <w:p w14:paraId="4A3E44D9">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显示范围</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DANL~26 dBm </w:t>
      </w:r>
    </w:p>
    <w:p w14:paraId="1D4B47B1">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电平精度</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+/- 1.5 dB </w:t>
      </w:r>
    </w:p>
    <w:p w14:paraId="038AA9AF">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中频带内平坦度</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+/- 1.75 dB（100MHz 模拟中频带宽档位） </w:t>
      </w:r>
    </w:p>
    <w:p w14:paraId="26875394">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参考电平（R.L.）</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-50dBm~23dBm </w:t>
      </w:r>
    </w:p>
    <w:p w14:paraId="50AA59C0">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射频前置放大器</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可设置为自动开启或强制关闭</w:t>
      </w:r>
    </w:p>
    <w:p w14:paraId="58D0C2EA">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检波器</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取样、正峰值、负峰值、RMS、平均最大功率 </w:t>
      </w:r>
    </w:p>
    <w:p w14:paraId="4A43CD99">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分辨率带宽（ RBW）</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1Hz~10MHz </w:t>
      </w:r>
    </w:p>
    <w:p w14:paraId="4D0DBE64">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视频带宽（VBW）</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1Hz~10MHz </w:t>
      </w:r>
    </w:p>
    <w:p w14:paraId="4277C513">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迹线功能</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清除写入_采样、清除写入_正峰值、清除写入_负峰值、清除写入_平均、最大保持、 </w:t>
      </w:r>
    </w:p>
    <w:p w14:paraId="359AFB87">
      <w:pPr>
        <w:keepNext w:val="0"/>
        <w:keepLines w:val="0"/>
        <w:widowControl/>
        <w:suppressLineNumbers w:val="0"/>
        <w:jc w:val="left"/>
      </w:pPr>
      <w:r>
        <w:rPr>
          <w:rFonts w:hint="eastAsia" w:ascii="微软雅黑" w:hAnsi="微软雅黑" w:eastAsia="微软雅黑" w:cs="微软雅黑"/>
          <w:color w:val="000000"/>
          <w:kern w:val="0"/>
          <w:sz w:val="18"/>
          <w:szCs w:val="18"/>
          <w:lang w:val="en-US" w:eastAsia="zh-CN" w:bidi="ar"/>
        </w:rPr>
        <w:t xml:space="preserve">最小保持、平均 </w:t>
      </w:r>
    </w:p>
    <w:p w14:paraId="1ADFF27B">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数据图表</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SAStudio4 软件中提供常规频谱 、瀑布图 、历史迹线 </w:t>
      </w:r>
    </w:p>
    <w:p w14:paraId="21ABE399">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测量功能</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相位噪声、信道功率、 占用带宽、XdB 带宽、邻道抑制、 IM3</w:t>
      </w:r>
    </w:p>
    <w:p w14:paraId="227DEF32">
      <w:pPr>
        <w:numPr>
          <w:ilvl w:val="0"/>
          <w:numId w:val="0"/>
        </w:numPr>
        <w:ind w:leftChars="0"/>
        <w:rPr>
          <w:rFonts w:hint="default"/>
          <w:b/>
          <w:bCs/>
          <w:sz w:val="24"/>
          <w:szCs w:val="24"/>
          <w:lang w:val="en-US" w:eastAsia="zh-CN"/>
        </w:rPr>
      </w:pPr>
      <w:r>
        <w:rPr>
          <w:rFonts w:hint="eastAsia"/>
          <w:b/>
          <w:bCs/>
          <w:sz w:val="24"/>
          <w:szCs w:val="24"/>
          <w:lang w:val="en-US" w:eastAsia="zh-CN"/>
        </w:rPr>
        <w:t>四、一般参数</w:t>
      </w:r>
    </w:p>
    <w:p w14:paraId="14F6D054">
      <w:pPr>
        <w:keepNext w:val="0"/>
        <w:keepLines w:val="0"/>
        <w:widowControl/>
        <w:suppressLineNumbers w:val="0"/>
        <w:jc w:val="left"/>
      </w:pPr>
      <w:r>
        <w:rPr>
          <w:rFonts w:hint="eastAsia"/>
          <w:lang w:val="en-US" w:eastAsia="zh-CN"/>
        </w:rPr>
        <w:t>*</w:t>
      </w:r>
      <w:r>
        <w:rPr>
          <w:rFonts w:ascii="微软雅黑" w:hAnsi="微软雅黑" w:eastAsia="微软雅黑" w:cs="微软雅黑"/>
          <w:color w:val="000000"/>
          <w:kern w:val="0"/>
          <w:sz w:val="18"/>
          <w:szCs w:val="18"/>
          <w:lang w:val="en-US" w:eastAsia="zh-CN" w:bidi="ar"/>
        </w:rPr>
        <w:t>显示</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IPS LCD 1280x800, 10.1 英寸多点触摸屏 </w:t>
      </w:r>
    </w:p>
    <w:p w14:paraId="1C13D716">
      <w:pPr>
        <w:keepNext w:val="0"/>
        <w:keepLines w:val="0"/>
        <w:widowControl/>
        <w:suppressLineNumbers w:val="0"/>
        <w:jc w:val="left"/>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EMMC 存储</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16GB </w:t>
      </w:r>
    </w:p>
    <w:p w14:paraId="01C72F76">
      <w:pPr>
        <w:keepNext w:val="0"/>
        <w:keepLines w:val="0"/>
        <w:widowControl/>
        <w:suppressLineNumbers w:val="0"/>
        <w:jc w:val="left"/>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主机 ：246x76x33mm，≤1.3kg </w:t>
      </w:r>
    </w:p>
    <w:p w14:paraId="0114DF16">
      <w:pPr>
        <w:keepNext w:val="0"/>
        <w:keepLines w:val="0"/>
        <w:widowControl/>
        <w:suppressLineNumbers w:val="0"/>
        <w:jc w:val="left"/>
      </w:pPr>
      <w:r>
        <w:rPr>
          <w:rFonts w:hint="eastAsia" w:ascii="微软雅黑" w:hAnsi="微软雅黑" w:eastAsia="微软雅黑" w:cs="微软雅黑"/>
          <w:color w:val="000000"/>
          <w:kern w:val="0"/>
          <w:sz w:val="18"/>
          <w:szCs w:val="18"/>
          <w:lang w:val="en-US" w:eastAsia="zh-CN" w:bidi="ar"/>
        </w:rPr>
        <w:t xml:space="preserve">含保护壳与支架 ：259.5x184.5x45.5mm， ≤1.5kg </w:t>
      </w:r>
    </w:p>
    <w:p w14:paraId="19F7BF8B">
      <w:pPr>
        <w:keepNext w:val="0"/>
        <w:keepLines w:val="0"/>
        <w:widowControl/>
        <w:suppressLineNumbers w:val="0"/>
        <w:jc w:val="left"/>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功耗</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典型值 25W </w:t>
      </w:r>
    </w:p>
    <w:p w14:paraId="2D43B3A9">
      <w:pPr>
        <w:keepNext w:val="0"/>
        <w:keepLines w:val="0"/>
        <w:widowControl/>
        <w:suppressLineNumbers w:val="0"/>
        <w:jc w:val="left"/>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电源适配器</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100V-240V，50/60Hz USB PD </w:t>
      </w:r>
    </w:p>
    <w:p w14:paraId="48389367">
      <w:pPr>
        <w:keepNext w:val="0"/>
        <w:keepLines w:val="0"/>
        <w:widowControl/>
        <w:suppressLineNumbers w:val="0"/>
        <w:jc w:val="left"/>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工作温度</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0~50℃ </w:t>
      </w:r>
    </w:p>
    <w:p w14:paraId="582681FF">
      <w:pPr>
        <w:keepNext w:val="0"/>
        <w:keepLines w:val="0"/>
        <w:widowControl/>
        <w:suppressLineNumbers w:val="0"/>
        <w:jc w:val="left"/>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存储温度</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-20~70℃ </w:t>
      </w:r>
    </w:p>
    <w:p w14:paraId="63B62009">
      <w:pPr>
        <w:keepNext w:val="0"/>
        <w:keepLines w:val="0"/>
        <w:widowControl/>
        <w:suppressLineNumbers w:val="0"/>
        <w:jc w:val="left"/>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包装附件</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已安装保护的主机*1 ，电源适配器*1 ，电源线*1</w:t>
      </w:r>
    </w:p>
    <w:p w14:paraId="568F8856">
      <w:pPr>
        <w:numPr>
          <w:ilvl w:val="0"/>
          <w:numId w:val="0"/>
        </w:numPr>
        <w:ind w:leftChars="0"/>
        <w:rPr>
          <w:rFonts w:hint="default"/>
          <w:b/>
          <w:bCs/>
          <w:sz w:val="24"/>
          <w:szCs w:val="24"/>
          <w:lang w:val="en-US" w:eastAsia="zh-CN"/>
        </w:rPr>
      </w:pPr>
      <w:r>
        <w:rPr>
          <w:rFonts w:hint="eastAsia"/>
          <w:b/>
          <w:bCs/>
          <w:sz w:val="24"/>
          <w:szCs w:val="24"/>
          <w:lang w:val="en-US" w:eastAsia="zh-CN"/>
        </w:rPr>
        <w:t>五、产品配置</w:t>
      </w:r>
    </w:p>
    <w:p w14:paraId="7470929A">
      <w:pPr>
        <w:numPr>
          <w:ilvl w:val="0"/>
          <w:numId w:val="0"/>
        </w:numPr>
        <w:rPr>
          <w:rFonts w:hint="default"/>
          <w:lang w:val="en-US" w:eastAsia="zh-CN"/>
        </w:rPr>
      </w:pPr>
      <w:r>
        <w:rPr>
          <w:rFonts w:hint="eastAsia"/>
          <w:lang w:eastAsia="zh-CN"/>
        </w:rPr>
        <w:t>主机、便携包、电源适配器、合格证、保修卡、检测报告（产品发货为准）</w:t>
      </w:r>
    </w:p>
    <w:p w14:paraId="760DF318">
      <w:pPr>
        <w:numPr>
          <w:ilvl w:val="0"/>
          <w:numId w:val="0"/>
        </w:numPr>
        <w:ind w:left="0" w:leftChars="0"/>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kern w:val="2"/>
          <w:sz w:val="24"/>
          <w:szCs w:val="24"/>
          <w:lang w:val="en-US" w:eastAsia="zh-CN" w:bidi="ar-SA"/>
        </w:rPr>
        <w:t>六、</w:t>
      </w:r>
      <w:r>
        <w:rPr>
          <w:rFonts w:hint="eastAsia" w:ascii="微软雅黑" w:hAnsi="微软雅黑" w:eastAsia="微软雅黑" w:cs="微软雅黑"/>
          <w:b/>
          <w:bCs/>
          <w:sz w:val="24"/>
          <w:szCs w:val="24"/>
          <w:lang w:val="en-US" w:eastAsia="zh-CN"/>
        </w:rPr>
        <w:t>HD系列模块清单</w:t>
      </w:r>
      <w:r>
        <w:rPr>
          <w:rFonts w:hint="eastAsia" w:ascii="微软雅黑" w:hAnsi="微软雅黑" w:cs="微软雅黑"/>
          <w:b/>
          <w:bCs/>
          <w:sz w:val="24"/>
          <w:szCs w:val="24"/>
          <w:lang w:val="en-US" w:eastAsia="zh-CN"/>
        </w:rPr>
        <w:t>（选配）</w:t>
      </w:r>
    </w:p>
    <w:p w14:paraId="49CFD347">
      <w:pPr>
        <w:keepNext w:val="0"/>
        <w:keepLines w:val="0"/>
        <w:widowControl/>
        <w:suppressLineNumbers w:val="0"/>
        <w:tabs>
          <w:tab w:val="center" w:pos="4153"/>
        </w:tabs>
        <w:jc w:val="left"/>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1、</w:t>
      </w:r>
      <w:r>
        <w:rPr>
          <w:rFonts w:hint="eastAsia"/>
          <w:color w:val="auto"/>
          <w:lang w:val="en-US" w:eastAsia="zh-CN"/>
        </w:rPr>
        <w:t xml:space="preserve">HD-063B  </w:t>
      </w:r>
      <w:r>
        <w:rPr>
          <w:rFonts w:ascii="微软雅黑" w:hAnsi="微软雅黑" w:eastAsia="微软雅黑" w:cs="微软雅黑"/>
          <w:color w:val="auto"/>
          <w:kern w:val="0"/>
          <w:sz w:val="19"/>
          <w:szCs w:val="19"/>
          <w:lang w:val="en-US" w:eastAsia="zh-CN" w:bidi="ar"/>
        </w:rPr>
        <w:t>9kHz-6.3GHz</w:t>
      </w:r>
      <w:r>
        <w:rPr>
          <w:rFonts w:hint="eastAsia" w:ascii="微软雅黑" w:hAnsi="微软雅黑" w:cs="微软雅黑"/>
          <w:color w:val="auto"/>
          <w:kern w:val="0"/>
          <w:sz w:val="19"/>
          <w:szCs w:val="19"/>
          <w:lang w:val="en-US" w:eastAsia="zh-CN" w:bidi="ar"/>
        </w:rPr>
        <w:t xml:space="preserve">      </w:t>
      </w:r>
      <w:r>
        <w:rPr>
          <w:rFonts w:ascii="微软雅黑" w:hAnsi="微软雅黑" w:eastAsia="微软雅黑" w:cs="微软雅黑"/>
          <w:color w:val="auto"/>
          <w:kern w:val="0"/>
          <w:sz w:val="19"/>
          <w:szCs w:val="19"/>
          <w:lang w:val="en-US" w:eastAsia="zh-CN" w:bidi="ar"/>
        </w:rPr>
        <w:t>100 MHz</w:t>
      </w:r>
      <w:r>
        <w:rPr>
          <w:rFonts w:hint="eastAsia" w:ascii="微软雅黑" w:hAnsi="微软雅黑" w:cs="微软雅黑"/>
          <w:color w:val="auto"/>
          <w:kern w:val="0"/>
          <w:sz w:val="19"/>
          <w:szCs w:val="19"/>
          <w:lang w:val="en-US" w:eastAsia="zh-CN" w:bidi="ar"/>
        </w:rPr>
        <w:t xml:space="preserve"> </w:t>
      </w:r>
      <w:r>
        <w:rPr>
          <w:rFonts w:hint="eastAsia" w:ascii="微软雅黑" w:hAnsi="微软雅黑" w:cs="微软雅黑"/>
          <w:color w:val="auto"/>
          <w:kern w:val="0"/>
          <w:sz w:val="19"/>
          <w:szCs w:val="19"/>
          <w:lang w:val="en-US" w:eastAsia="zh-CN" w:bidi="ar"/>
        </w:rPr>
        <w:tab/>
      </w:r>
      <w:r>
        <w:rPr>
          <w:rFonts w:hint="eastAsia" w:cs="Times New Roman"/>
          <w:color w:val="auto"/>
          <w:lang w:val="en-US" w:eastAsia="zh-CN"/>
        </w:rPr>
        <w:t>（选配）</w:t>
      </w:r>
    </w:p>
    <w:p w14:paraId="4AE6E3FB">
      <w:pPr>
        <w:keepNext w:val="0"/>
        <w:keepLines w:val="0"/>
        <w:widowControl/>
        <w:suppressLineNumbers w:val="0"/>
        <w:jc w:val="left"/>
        <w:rPr>
          <w:rFonts w:hint="default"/>
          <w:lang w:val="en-US"/>
        </w:rPr>
      </w:pPr>
      <w:r>
        <w:rPr>
          <w:rFonts w:hint="eastAsia"/>
          <w:b w:val="0"/>
          <w:bCs w:val="0"/>
          <w:color w:val="000000" w:themeColor="text1"/>
          <w:lang w:val="en-US" w:eastAsia="zh-CN"/>
          <w14:textFill>
            <w14:solidFill>
              <w14:schemeClr w14:val="tx1"/>
            </w14:solidFill>
          </w14:textFill>
        </w:rPr>
        <w:t>2、</w:t>
      </w:r>
      <w:r>
        <w:rPr>
          <w:rFonts w:hint="eastAsia" w:cs="Times New Roman"/>
          <w:color w:val="auto"/>
          <w:lang w:val="en-US" w:eastAsia="zh-CN"/>
        </w:rPr>
        <w:t>HD-095B  9 kHz - 9.5 GHz  100 MHz （选配）</w:t>
      </w:r>
    </w:p>
    <w:p w14:paraId="69D2E18D">
      <w:pPr>
        <w:keepNext w:val="0"/>
        <w:keepLines w:val="0"/>
        <w:widowControl/>
        <w:suppressLineNumbers w:val="0"/>
        <w:jc w:val="left"/>
        <w:rPr>
          <w:rFonts w:hint="eastAsia" w:cs="Times New Roman"/>
          <w:lang w:val="en-US" w:eastAsia="zh-CN"/>
        </w:rPr>
      </w:pPr>
      <w:r>
        <w:rPr>
          <w:rFonts w:hint="eastAsia"/>
          <w:b w:val="0"/>
          <w:bCs w:val="0"/>
          <w:color w:val="000000" w:themeColor="text1"/>
          <w:lang w:val="en-US" w:eastAsia="zh-CN"/>
          <w14:textFill>
            <w14:solidFill>
              <w14:schemeClr w14:val="tx1"/>
            </w14:solidFill>
          </w14:textFill>
        </w:rPr>
        <w:t>3、</w:t>
      </w:r>
      <w:r>
        <w:rPr>
          <w:rFonts w:hint="eastAsia" w:cs="Times New Roman"/>
          <w:color w:val="FF0000"/>
          <w:lang w:val="en-US" w:eastAsia="zh-CN"/>
        </w:rPr>
        <w:t xml:space="preserve">HD-200B  9 kHz - 20GHz   100 MHz </w:t>
      </w:r>
      <w:r>
        <w:rPr>
          <w:rFonts w:hint="eastAsia"/>
          <w:b w:val="0"/>
          <w:bCs w:val="0"/>
          <w:color w:val="FF0000"/>
          <w:lang w:val="en-US" w:eastAsia="zh-CN"/>
        </w:rPr>
        <w:t>（标配）</w:t>
      </w:r>
    </w:p>
    <w:p w14:paraId="64CAA4BE">
      <w:pPr>
        <w:keepNext w:val="0"/>
        <w:keepLines w:val="0"/>
        <w:widowControl/>
        <w:suppressLineNumbers w:val="0"/>
        <w:jc w:val="left"/>
        <w:rPr>
          <w:rFonts w:hint="default" w:ascii="Arial" w:hAnsi="Arial" w:eastAsia="微软雅黑" w:cs="Times New Roman"/>
          <w:b/>
          <w:bCs/>
          <w:kern w:val="2"/>
          <w:sz w:val="24"/>
          <w:szCs w:val="24"/>
          <w:lang w:val="en-US" w:eastAsia="zh-CN" w:bidi="ar-SA"/>
        </w:rPr>
      </w:pPr>
      <w:r>
        <w:rPr>
          <w:rFonts w:hint="eastAsia" w:cs="Times New Roman"/>
          <w:lang w:val="en-US" w:eastAsia="zh-CN"/>
        </w:rPr>
        <w:t>4、HD-400B  9 kHz - 40GHz   100 MHz （选配）</w:t>
      </w:r>
    </w:p>
    <w:p w14:paraId="141EE238">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七</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核心应用行业</w:t>
      </w:r>
      <w:bookmarkStart w:id="0" w:name="_GoBack"/>
      <w:bookmarkEnd w:id="0"/>
    </w:p>
    <w:p w14:paraId="656F0359">
      <w:pPr>
        <w:numPr>
          <w:ilvl w:val="0"/>
          <w:numId w:val="0"/>
        </w:numPr>
        <w:rPr>
          <w:rFonts w:hint="eastAsia"/>
          <w:lang w:val="en-US" w:eastAsia="zh-CN"/>
        </w:rPr>
      </w:pPr>
      <w:r>
        <w:rPr>
          <w:rFonts w:hint="eastAsia"/>
          <w:lang w:val="en-US" w:eastAsia="zh-CN"/>
        </w:rPr>
        <w:t>部队、电力、石油、石化、航空、运营商、铁路、高速、能源……</w:t>
      </w:r>
    </w:p>
    <w:p w14:paraId="55C41E06">
      <w:pPr>
        <w:numPr>
          <w:ilvl w:val="0"/>
          <w:numId w:val="0"/>
        </w:numPr>
        <w:rPr>
          <w:rFonts w:hint="eastAsia"/>
          <w:lang w:val="en-US" w:eastAsia="zh-CN"/>
        </w:rPr>
      </w:pPr>
    </w:p>
    <w:p w14:paraId="2E6AB88F">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八</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售后服务</w:t>
      </w:r>
    </w:p>
    <w:p w14:paraId="1EEABFEE">
      <w:pPr>
        <w:numPr>
          <w:ilvl w:val="0"/>
          <w:numId w:val="0"/>
        </w:numPr>
        <w:rPr>
          <w:rFonts w:hint="default"/>
          <w:lang w:val="en-US" w:eastAsia="zh-CN"/>
        </w:rPr>
      </w:pPr>
      <w:r>
        <w:rPr>
          <w:rFonts w:hint="eastAsia"/>
          <w:lang w:val="en-US" w:eastAsia="zh-CN"/>
        </w:rPr>
        <w:t>*</w:t>
      </w:r>
      <w:r>
        <w:rPr>
          <w:rFonts w:hint="default"/>
          <w:lang w:val="en-US" w:eastAsia="zh-CN"/>
        </w:rPr>
        <w:t xml:space="preserve">全国联保 / 7×24 小时响应 / </w:t>
      </w:r>
      <w:r>
        <w:rPr>
          <w:rFonts w:hint="eastAsia"/>
          <w:lang w:val="en-US" w:eastAsia="zh-CN"/>
        </w:rPr>
        <w:t>主机</w:t>
      </w:r>
      <w:r>
        <w:rPr>
          <w:rFonts w:hint="default"/>
          <w:lang w:val="en-US" w:eastAsia="zh-CN"/>
        </w:rPr>
        <w:t>质保</w:t>
      </w:r>
      <w:r>
        <w:rPr>
          <w:rFonts w:hint="eastAsia"/>
          <w:lang w:val="en-US" w:eastAsia="zh-CN"/>
        </w:rPr>
        <w:t>1</w:t>
      </w:r>
      <w:r>
        <w:rPr>
          <w:rFonts w:hint="default"/>
          <w:lang w:val="en-US" w:eastAsia="zh-CN"/>
        </w:rPr>
        <w:t xml:space="preserve"> 年（</w:t>
      </w:r>
      <w:r>
        <w:rPr>
          <w:rFonts w:hint="eastAsia"/>
          <w:lang w:val="en-US" w:eastAsia="zh-CN"/>
        </w:rPr>
        <w:t>配件</w:t>
      </w:r>
      <w:r>
        <w:rPr>
          <w:rFonts w:hint="default"/>
          <w:lang w:val="en-US" w:eastAsia="zh-CN"/>
        </w:rPr>
        <w:t>部件质保</w:t>
      </w:r>
      <w:r>
        <w:rPr>
          <w:rFonts w:hint="eastAsia"/>
          <w:lang w:val="en-US" w:eastAsia="zh-CN"/>
        </w:rPr>
        <w:t>半</w:t>
      </w:r>
      <w:r>
        <w:rPr>
          <w:rFonts w:hint="default"/>
          <w:lang w:val="en-US" w:eastAsia="zh-CN"/>
        </w:rPr>
        <w:t>年）​</w:t>
      </w:r>
    </w:p>
    <w:p w14:paraId="1335403C">
      <w:pPr>
        <w:numPr>
          <w:ilvl w:val="0"/>
          <w:numId w:val="0"/>
        </w:numPr>
        <w:rPr>
          <w:rFonts w:hint="default"/>
          <w:lang w:val="en-US" w:eastAsia="zh-CN"/>
        </w:rPr>
      </w:pPr>
      <w:r>
        <w:rPr>
          <w:rFonts w:hint="eastAsia"/>
          <w:lang w:val="en-US" w:eastAsia="zh-CN"/>
        </w:rPr>
        <w:t>*</w:t>
      </w:r>
      <w:r>
        <w:rPr>
          <w:rFonts w:hint="default"/>
          <w:lang w:val="en-US" w:eastAsia="zh-CN"/>
        </w:rPr>
        <w:t>报修渠道</w:t>
      </w:r>
      <w:r>
        <w:rPr>
          <w:rFonts w:hint="eastAsia"/>
          <w:lang w:val="en-US" w:eastAsia="zh-CN"/>
        </w:rPr>
        <w:t>：杨工 18108048914</w:t>
      </w:r>
    </w:p>
    <w:sectPr>
      <w:headerReference r:id="rId3" w:type="default"/>
      <w:footerReference r:id="rId4" w:type="default"/>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CD170">
    <w:pPr>
      <w:pStyle w:val="11"/>
      <w:rPr>
        <w:rFonts w:hint="default"/>
        <w:sz w:val="24"/>
        <w:szCs w:val="24"/>
        <w:lang w:val="en-US" w:eastAsia="zh-CN"/>
      </w:rPr>
    </w:pPr>
    <w:r>
      <w:rPr>
        <w:rFonts w:hint="eastAsia"/>
        <w:lang w:val="en-US" w:eastAsia="zh-CN"/>
      </w:rPr>
      <w:t>官网：</w:t>
    </w:r>
    <w:r>
      <w:rPr>
        <w:rFonts w:hint="eastAsia"/>
        <w:sz w:val="24"/>
        <w:szCs w:val="24"/>
        <w:lang w:val="en-US" w:eastAsia="zh-CN"/>
      </w:rPr>
      <w:fldChar w:fldCharType="begin"/>
    </w:r>
    <w:r>
      <w:rPr>
        <w:rFonts w:hint="eastAsia"/>
        <w:sz w:val="24"/>
        <w:szCs w:val="24"/>
        <w:lang w:val="en-US" w:eastAsia="zh-CN"/>
      </w:rPr>
      <w:instrText xml:space="preserve"> HYPERLINK "http://www.dingxunacnn.com" </w:instrText>
    </w:r>
    <w:r>
      <w:rPr>
        <w:rFonts w:hint="eastAsia"/>
        <w:sz w:val="24"/>
        <w:szCs w:val="24"/>
        <w:lang w:val="en-US" w:eastAsia="zh-CN"/>
      </w:rPr>
      <w:fldChar w:fldCharType="separate"/>
    </w:r>
    <w:r>
      <w:rPr>
        <w:rStyle w:val="16"/>
        <w:rFonts w:hint="eastAsia"/>
        <w:sz w:val="24"/>
        <w:szCs w:val="24"/>
        <w:lang w:val="en-US" w:eastAsia="zh-CN"/>
      </w:rPr>
      <w:t>www.dingxunacnn.com</w:t>
    </w:r>
    <w:r>
      <w:rPr>
        <w:rFonts w:hint="eastAsia"/>
        <w:sz w:val="24"/>
        <w:szCs w:val="24"/>
        <w:lang w:val="en-US"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DDE11">
    <w:pPr>
      <w:pStyle w:val="12"/>
      <w:rPr>
        <w:rFonts w:hint="default" w:eastAsia="微软雅黑"/>
        <w:lang w:val="en-US" w:eastAsia="zh-CN"/>
      </w:rPr>
    </w:pPr>
    <w:r>
      <w:drawing>
        <wp:inline distT="0" distB="0" distL="114300" distR="114300">
          <wp:extent cx="326390" cy="326390"/>
          <wp:effectExtent l="0" t="0" r="16510" b="16510"/>
          <wp:docPr id="3" name="图片 2" descr="91e164542513c935d312ed5de54d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1e164542513c935d312ed5de54dde4"/>
                  <pic:cNvPicPr>
                    <a:picLocks noChangeAspect="1"/>
                  </pic:cNvPicPr>
                </pic:nvPicPr>
                <pic:blipFill>
                  <a:blip r:embed="rId1"/>
                  <a:stretch>
                    <a:fillRect/>
                  </a:stretch>
                </pic:blipFill>
                <pic:spPr>
                  <a:xfrm>
                    <a:off x="0" y="0"/>
                    <a:ext cx="326390" cy="326390"/>
                  </a:xfrm>
                  <a:prstGeom prst="rect">
                    <a:avLst/>
                  </a:prstGeom>
                </pic:spPr>
              </pic:pic>
            </a:graphicData>
          </a:graphic>
        </wp:inline>
      </w:drawing>
    </w:r>
    <w:r>
      <w:rPr>
        <w:rFonts w:hint="eastAsia"/>
        <w:lang w:val="en-US" w:eastAsia="zh-CN"/>
      </w:rPr>
      <w:t xml:space="preserve">                                               成都鼎讯信通科技有限公司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1415CD2"/>
    <w:rsid w:val="015370F0"/>
    <w:rsid w:val="01D257A3"/>
    <w:rsid w:val="07011CC2"/>
    <w:rsid w:val="07644792"/>
    <w:rsid w:val="09284798"/>
    <w:rsid w:val="0F2B6FD9"/>
    <w:rsid w:val="12A6008B"/>
    <w:rsid w:val="14805E6D"/>
    <w:rsid w:val="183C240D"/>
    <w:rsid w:val="1AA24D9F"/>
    <w:rsid w:val="1CAC58FC"/>
    <w:rsid w:val="1FAF745A"/>
    <w:rsid w:val="20672C08"/>
    <w:rsid w:val="252C29B5"/>
    <w:rsid w:val="28DA2E89"/>
    <w:rsid w:val="29DB01C2"/>
    <w:rsid w:val="2A4254F9"/>
    <w:rsid w:val="2B181FE1"/>
    <w:rsid w:val="2D1F32F4"/>
    <w:rsid w:val="2EB42885"/>
    <w:rsid w:val="30B579BF"/>
    <w:rsid w:val="323B4D81"/>
    <w:rsid w:val="3470183A"/>
    <w:rsid w:val="34B70380"/>
    <w:rsid w:val="370C1079"/>
    <w:rsid w:val="3A0359F6"/>
    <w:rsid w:val="3AE174A3"/>
    <w:rsid w:val="3BC940B5"/>
    <w:rsid w:val="3DDE05F5"/>
    <w:rsid w:val="3F512FA9"/>
    <w:rsid w:val="415B003E"/>
    <w:rsid w:val="4210434B"/>
    <w:rsid w:val="43446334"/>
    <w:rsid w:val="434846C3"/>
    <w:rsid w:val="44A84E71"/>
    <w:rsid w:val="459308C3"/>
    <w:rsid w:val="477DCE1E"/>
    <w:rsid w:val="4FB85987"/>
    <w:rsid w:val="52D43CC9"/>
    <w:rsid w:val="54566334"/>
    <w:rsid w:val="573E1E21"/>
    <w:rsid w:val="5A4968FF"/>
    <w:rsid w:val="5B487E91"/>
    <w:rsid w:val="5CF9550F"/>
    <w:rsid w:val="5EFEBDE8"/>
    <w:rsid w:val="607320D3"/>
    <w:rsid w:val="61875360"/>
    <w:rsid w:val="63320977"/>
    <w:rsid w:val="63CF3776"/>
    <w:rsid w:val="6692787F"/>
    <w:rsid w:val="686B6B23"/>
    <w:rsid w:val="68CA2609"/>
    <w:rsid w:val="68CC1AED"/>
    <w:rsid w:val="69BB0F42"/>
    <w:rsid w:val="6A637494"/>
    <w:rsid w:val="6B2807B2"/>
    <w:rsid w:val="6B4D5506"/>
    <w:rsid w:val="6BCF62E6"/>
    <w:rsid w:val="6C00225C"/>
    <w:rsid w:val="6CD3A16D"/>
    <w:rsid w:val="6D535020"/>
    <w:rsid w:val="6E5F49A6"/>
    <w:rsid w:val="6EA878F9"/>
    <w:rsid w:val="6FFF37D2"/>
    <w:rsid w:val="70DE2EF1"/>
    <w:rsid w:val="722A4ECE"/>
    <w:rsid w:val="74C55591"/>
    <w:rsid w:val="78AF6BC4"/>
    <w:rsid w:val="78D16812"/>
    <w:rsid w:val="799A287B"/>
    <w:rsid w:val="79EF706B"/>
    <w:rsid w:val="7C5F4108"/>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Arial" w:hAnsi="Arial" w:eastAsia="微软雅黑" w:cs="Times New Roman"/>
      <w:kern w:val="2"/>
      <w:sz w:val="21"/>
      <w:szCs w:val="24"/>
      <w:lang w:val="en-US" w:eastAsia="zh-CN" w:bidi="ar-SA"/>
    </w:rPr>
  </w:style>
  <w:style w:type="paragraph" w:styleId="3">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2">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5">
    <w:name w:val="Default Paragraph Font"/>
    <w:qFormat/>
    <w:uiPriority w:val="0"/>
    <w:rPr>
      <w:rFonts w:eastAsia="微软雅黑" w:asciiTheme="minorAscii" w:hAnsiTheme="minorAscii"/>
    </w:rPr>
  </w:style>
  <w:style w:type="table" w:default="1" w:styleId="13">
    <w:name w:val="Normal Table"/>
    <w:semiHidden/>
    <w:qFormat/>
    <w:uiPriority w:val="0"/>
    <w:tblPr>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4">
    <w:name w:val="Table Grid"/>
    <w:basedOn w:val="13"/>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Pages>
  <Words>1425</Words>
  <Characters>2193</Characters>
  <Lines>0</Lines>
  <Paragraphs>0</Paragraphs>
  <TotalTime>1</TotalTime>
  <ScaleCrop>false</ScaleCrop>
  <LinksUpToDate>false</LinksUpToDate>
  <CharactersWithSpaces>2596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A</dc:creator>
  <cp:lastModifiedBy>shy yang</cp:lastModifiedBy>
  <dcterms:modified xsi:type="dcterms:W3CDTF">2026-01-07T06:47:33Z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woTemplateTypoMode" linkTarget="0">
    <vt:lpwstr/>
  </property>
  <property fmtid="{D5CDD505-2E9C-101B-9397-08002B2CF9AE}" pid="4" name="woTemplate" linkTarget="0">
    <vt:i4>0</vt:i4>
  </property>
  <property fmtid="{D5CDD505-2E9C-101B-9397-08002B2CF9AE}" pid="5" name="KSOTemplateDocerSaveRecord">
    <vt:lpwstr>eyJoZGlkIjoiYWJhMzZmYzcxMzgxMDZjNDBlNjAwMDhkYmNlYTlkMzAiLCJ1c2VySWQiOiIzNTYxMTIzNjIifQ==</vt:lpwstr>
  </property>
  <property fmtid="{D5CDD505-2E9C-101B-9397-08002B2CF9AE}" pid="6" name="ICV">
    <vt:lpwstr>80FEC70A2C7740D6AA9EE6C2D0EFA103_12</vt:lpwstr>
  </property>
</Properties>
</file>