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02E1C48">
      <w:pPr>
        <w:jc w:val="center"/>
        <w:rPr>
          <w:rFonts w:hint="default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鼎讯 2M误码仪 FM-200</w:t>
      </w:r>
    </w:p>
    <w:p w14:paraId="15B557CF">
      <w:pPr>
        <w:rPr>
          <w:sz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2502535</wp:posOffset>
                </wp:positionH>
                <wp:positionV relativeFrom="paragraph">
                  <wp:posOffset>59055</wp:posOffset>
                </wp:positionV>
                <wp:extent cx="2233930" cy="2105025"/>
                <wp:effectExtent l="5080" t="4445" r="8890" b="508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620135" y="1231265"/>
                          <a:ext cx="2233930" cy="2105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398F8C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  <w:r>
                              <w:drawing>
                                <wp:inline distT="0" distB="0" distL="114300" distR="114300">
                                  <wp:extent cx="2209165" cy="2209165"/>
                                  <wp:effectExtent l="0" t="0" r="635" b="635"/>
                                  <wp:docPr id="1" name="图片 1" descr="2M 误码仪（2013年新款）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2M 误码仪（2013年新款）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09165" cy="22091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FBE035B">
                            <w:pPr>
                              <w:jc w:val="center"/>
                              <w:rPr>
                                <w:rFonts w:hint="eastAsia" w:eastAsia="微软雅黑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7.05pt;margin-top:4.65pt;height:165.75pt;width:175.9pt;z-index:251659264;mso-width-relative:page;mso-height-relative:page;" fillcolor="#FFFFFF [3201]" filled="t" stroked="t" coordsize="21600,21600" o:gfxdata="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CKDpLu1gAAAAkBAAAPAAAAAAAAAAEAIAAAACIAAABkcnMvZG93bnJldi54bWxQSwECFAAU&#10;AAAACACHTuJAmfXC4GUCAADEBAAADgAAAAAAAAABACAAAAAlAQAAZHJzL2Uyb0RvYy54bWxQSwUG&#10;AAAAAAYABgBZAQAA/A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2B398F8C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  <w:r>
                        <w:drawing>
                          <wp:inline distT="0" distB="0" distL="114300" distR="114300">
                            <wp:extent cx="2209165" cy="2209165"/>
                            <wp:effectExtent l="0" t="0" r="635" b="635"/>
                            <wp:docPr id="1" name="图片 1" descr="2M 误码仪（2013年新款）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图片 1" descr="2M 误码仪（2013年新款）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09165" cy="22091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FBE035B">
                      <w:pPr>
                        <w:jc w:val="center"/>
                        <w:rPr>
                          <w:rFonts w:hint="eastAsia" w:eastAsia="微软雅黑"/>
                          <w:lang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7EAEAC6">
      <w:pPr>
        <w:rPr>
          <w:rFonts w:hint="eastAsia"/>
          <w:lang w:val="en-US" w:eastAsia="zh-CN"/>
        </w:rPr>
      </w:pPr>
    </w:p>
    <w:p w14:paraId="7C23645C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名称：2M误码仪</w:t>
      </w:r>
    </w:p>
    <w:p w14:paraId="54149E44">
      <w:pPr>
        <w:rPr>
          <w:rFonts w:hint="eastAsia" w:eastAsia="微软雅黑"/>
          <w:lang w:val="en-US" w:eastAsia="zh-CN"/>
        </w:rPr>
      </w:pPr>
      <w:r>
        <w:rPr>
          <w:rFonts w:hint="eastAsia"/>
          <w:lang w:val="en-US" w:eastAsia="zh-CN"/>
        </w:rPr>
        <w:t>型号：</w:t>
      </w:r>
      <w:r>
        <w:rPr>
          <w:rFonts w:hint="eastAsia"/>
        </w:rPr>
        <w:t>FM-200</w:t>
      </w:r>
      <w:r>
        <w:rPr>
          <w:rFonts w:hint="eastAsia"/>
          <w:lang w:val="en-US" w:eastAsia="zh-CN"/>
        </w:rPr>
        <w:t>C</w:t>
      </w:r>
    </w:p>
    <w:p w14:paraId="446BE89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品牌：鼎讯</w:t>
      </w:r>
    </w:p>
    <w:p w14:paraId="4C180C7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公司：成都鼎讯信通科技有限公司</w:t>
      </w:r>
    </w:p>
    <w:p w14:paraId="3ADEC39D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官网:www.dingxunacnn.com</w:t>
      </w:r>
    </w:p>
    <w:p w14:paraId="5F26B063">
      <w:pPr>
        <w:rPr>
          <w:rFonts w:hint="eastAsia"/>
          <w:lang w:val="en-US" w:eastAsia="zh-CN"/>
        </w:rPr>
      </w:pPr>
    </w:p>
    <w:p w14:paraId="37EA01C2">
      <w:p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一、产品概述</w:t>
      </w:r>
    </w:p>
    <w:p w14:paraId="539D35F9">
      <w:pPr>
        <w:numPr>
          <w:ilvl w:val="0"/>
          <w:numId w:val="0"/>
        </w:num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FM-200C 2M数字传输分析仪将E1电路测试功能和数据通信电路测试功能完美地组合在一起，用于对带有E1接口和数据接口的通信电路传输质量进行全面的分析、测量和评估。除了支持常规的2M和数据通道误码测试功能外，2M数字传输分析仪不仅提供了对2M帧结构数据、双路E1监控、环路时延、倒换时延、输出波形、输出抖动、信号电平的测试和分析功能，特别又增加了G.703脉冲模板测试，而且还通过软件配置选项支持以太网，抖动，帧中继多种高级测试功能，所有的功能都在同个用户界面上实现，是电信工程技术人员日常维护工作最有力和最可靠的工具。</w:t>
      </w:r>
    </w:p>
    <w:p w14:paraId="783A3018"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二、</w:t>
      </w:r>
      <w:r>
        <w:rPr>
          <w:rFonts w:hint="eastAsia"/>
          <w:b/>
          <w:bCs/>
          <w:sz w:val="24"/>
          <w:szCs w:val="24"/>
          <w:lang w:val="en-US" w:eastAsia="zh-CN"/>
        </w:rPr>
        <w:t>产品特点</w:t>
      </w:r>
    </w:p>
    <w:p w14:paraId="766C8834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 w:ascii="Arial" w:hAnsi="Arial" w:eastAsia="微软雅黑" w:cs="Times New Roman"/>
          <w:kern w:val="2"/>
          <w:sz w:val="21"/>
          <w:szCs w:val="24"/>
          <w:lang w:val="en-US" w:eastAsia="zh-CN" w:bidi="ar-SA"/>
        </w:rPr>
        <w:t>1、</w:t>
      </w:r>
      <w:r>
        <w:rPr>
          <w:rFonts w:hint="eastAsia"/>
          <w:lang w:val="en-US" w:eastAsia="zh-CN"/>
        </w:rPr>
        <w:t>全中文菜单，彩色高清晰度宽视角</w:t>
      </w:r>
      <w:r>
        <w:rPr>
          <w:rFonts w:hint="default"/>
          <w:lang w:val="en-US" w:eastAsia="zh-CN"/>
        </w:rPr>
        <w:t>TFT</w:t>
      </w:r>
      <w:r>
        <w:rPr>
          <w:rFonts w:hint="eastAsia"/>
          <w:lang w:val="en-US" w:eastAsia="zh-CN"/>
        </w:rPr>
        <w:t>液晶显示</w:t>
      </w:r>
    </w:p>
    <w:p w14:paraId="78A2A18B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2、可进行多任务工作（可以边测试边翻阅以前的记录）</w:t>
      </w:r>
    </w:p>
    <w:p w14:paraId="62095DD3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3、最高达</w:t>
      </w:r>
      <w:r>
        <w:rPr>
          <w:rFonts w:hint="default"/>
          <w:lang w:val="en-US" w:eastAsia="zh-CN"/>
        </w:rPr>
        <w:t>9</w:t>
      </w:r>
      <w:r>
        <w:rPr>
          <w:rFonts w:hint="eastAsia"/>
          <w:lang w:val="en-US" w:eastAsia="zh-CN"/>
        </w:rPr>
        <w:t>个测试设置存储，</w:t>
      </w:r>
      <w:r>
        <w:rPr>
          <w:rFonts w:hint="default"/>
          <w:lang w:val="en-US" w:eastAsia="zh-CN"/>
        </w:rPr>
        <w:t>435</w:t>
      </w:r>
      <w:r>
        <w:rPr>
          <w:rFonts w:hint="eastAsia"/>
          <w:lang w:val="en-US" w:eastAsia="zh-CN"/>
        </w:rPr>
        <w:t>个测试结果存储，并可进行掉电记忆</w:t>
      </w:r>
    </w:p>
    <w:p w14:paraId="5180E9CE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4、可与</w:t>
      </w:r>
      <w:r>
        <w:rPr>
          <w:rFonts w:hint="default"/>
          <w:lang w:val="en-US" w:eastAsia="zh-CN"/>
        </w:rPr>
        <w:t>PC</w:t>
      </w:r>
      <w:r>
        <w:rPr>
          <w:rFonts w:hint="eastAsia"/>
          <w:lang w:val="en-US" w:eastAsia="zh-CN"/>
        </w:rPr>
        <w:t>机通信，实现在微机上存储，打印测试数据，也可直接连接到微型打印机</w:t>
      </w:r>
    </w:p>
    <w:p w14:paraId="29E17F94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5、可定时开启、关闭进行测试</w:t>
      </w:r>
      <w:r>
        <w:rPr>
          <w:rFonts w:hint="default"/>
          <w:lang w:val="en-US" w:eastAsia="zh-CN"/>
        </w:rPr>
        <w:t xml:space="preserve">                </w:t>
      </w:r>
    </w:p>
    <w:p w14:paraId="01747C34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6、具有告警、误码直方图分析</w:t>
      </w:r>
    </w:p>
    <w:p w14:paraId="1BF97B80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7、软件上网升级</w:t>
      </w:r>
      <w:r>
        <w:rPr>
          <w:rFonts w:hint="default"/>
          <w:lang w:val="en-US" w:eastAsia="zh-CN"/>
        </w:rPr>
        <w:t xml:space="preserve">                            </w:t>
      </w:r>
    </w:p>
    <w:p w14:paraId="1E081853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8、中英文显示界面</w:t>
      </w:r>
    </w:p>
    <w:p w14:paraId="2D64A25C">
      <w:pPr>
        <w:numPr>
          <w:ilvl w:val="0"/>
          <w:numId w:val="0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三、</w:t>
      </w: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设备</w:t>
      </w:r>
      <w:r>
        <w:rPr>
          <w:rFonts w:hint="eastAsia"/>
          <w:b/>
          <w:bCs/>
          <w:sz w:val="24"/>
          <w:szCs w:val="24"/>
          <w:lang w:val="en-US" w:eastAsia="zh-CN"/>
        </w:rPr>
        <w:t>参数</w:t>
      </w:r>
    </w:p>
    <w:p w14:paraId="2FB5BE2E">
      <w:pPr>
        <w:rPr>
          <w:rFonts w:hint="eastAsia"/>
        </w:rPr>
      </w:pPr>
      <w:r>
        <w:rPr>
          <w:rFonts w:hint="eastAsia"/>
          <w:lang w:val="en-US" w:eastAsia="zh-CN"/>
        </w:rPr>
        <w:t>*</w:t>
      </w:r>
      <w:r>
        <w:rPr>
          <w:rFonts w:hint="eastAsia"/>
          <w:b/>
          <w:bCs/>
          <w:lang w:val="en-US" w:eastAsia="zh-CN"/>
        </w:rPr>
        <w:t>2M技术指标</w:t>
      </w:r>
    </w:p>
    <w:p w14:paraId="56BE171D">
      <w:pPr>
        <w:rPr>
          <w:rFonts w:hint="eastAsia"/>
        </w:rPr>
      </w:pPr>
      <w:r>
        <w:rPr>
          <w:rFonts w:hint="eastAsia"/>
          <w:lang w:val="en-US" w:eastAsia="zh-CN"/>
        </w:rPr>
        <w:t>*信号输入速率： 2048kbit/s ± 100ppm（G.703要求±50PPM）</w:t>
      </w:r>
    </w:p>
    <w:p w14:paraId="620880BF">
      <w:pPr>
        <w:rPr>
          <w:rFonts w:hint="eastAsia"/>
        </w:rPr>
      </w:pPr>
      <w:r>
        <w:rPr>
          <w:rFonts w:hint="eastAsia"/>
          <w:lang w:val="en-US" w:eastAsia="zh-CN"/>
        </w:rPr>
        <w:t>*信号编码： HDB3、AMI</w:t>
      </w:r>
    </w:p>
    <w:p w14:paraId="531B76B8">
      <w:pPr>
        <w:rPr>
          <w:rFonts w:hint="eastAsia"/>
        </w:rPr>
      </w:pPr>
      <w:r>
        <w:rPr>
          <w:rFonts w:hint="eastAsia"/>
          <w:lang w:val="en-US" w:eastAsia="zh-CN"/>
        </w:rPr>
        <w:t>*输入抖动容限： 10UI 20Hz～2.4Hz; 0.5UI 18～100Hz</w:t>
      </w:r>
    </w:p>
    <w:p w14:paraId="71583CE5">
      <w:pPr>
        <w:rPr>
          <w:rFonts w:hint="eastAsia"/>
        </w:rPr>
      </w:pPr>
      <w:r>
        <w:rPr>
          <w:rFonts w:hint="eastAsia"/>
          <w:lang w:val="en-US" w:eastAsia="zh-CN"/>
        </w:rPr>
        <w:t>*输入均衡特性：衰减符合频率的平方根规律，在1024kHz 处衰减在0～6dB范围内。</w:t>
      </w:r>
    </w:p>
    <w:p w14:paraId="1EAB9DEF">
      <w:pPr>
        <w:rPr>
          <w:rFonts w:hint="eastAsia"/>
        </w:rPr>
      </w:pPr>
      <w:r>
        <w:rPr>
          <w:rFonts w:hint="eastAsia"/>
          <w:lang w:val="en-US" w:eastAsia="zh-CN"/>
        </w:rPr>
        <w:t>*输入阻抗：</w:t>
      </w:r>
    </w:p>
    <w:p w14:paraId="60E4F285">
      <w:pPr>
        <w:rPr>
          <w:rFonts w:hint="eastAsia"/>
        </w:rPr>
      </w:pPr>
      <w:r>
        <w:rPr>
          <w:rFonts w:hint="eastAsia"/>
          <w:lang w:val="en-US" w:eastAsia="zh-CN"/>
        </w:rPr>
        <w:t>--非平衡终接：75Ω；    平衡终接： 120W 50Hz～3100kHz反射损耗大于18dB</w:t>
      </w:r>
    </w:p>
    <w:p w14:paraId="1BDD024C">
      <w:pPr>
        <w:rPr>
          <w:rFonts w:hint="eastAsia"/>
        </w:rPr>
      </w:pPr>
      <w:r>
        <w:rPr>
          <w:rFonts w:hint="eastAsia"/>
          <w:lang w:val="en-US" w:eastAsia="zh-CN"/>
        </w:rPr>
        <w:t>--非平衡桥接：大于750Ω；   平衡桥接： 大于1200Ω</w:t>
      </w:r>
    </w:p>
    <w:p w14:paraId="3E6348E3">
      <w:pPr>
        <w:rPr>
          <w:rFonts w:hint="eastAsia"/>
        </w:rPr>
      </w:pPr>
      <w:r>
        <w:rPr>
          <w:rFonts w:hint="eastAsia"/>
          <w:lang w:val="en-US" w:eastAsia="zh-CN"/>
        </w:rPr>
        <w:t>--非平衡监测：75Ω 26dB增益；   平衡监测： 120Ω 26dB增益</w:t>
      </w:r>
    </w:p>
    <w:p w14:paraId="764FAB75">
      <w:pPr>
        <w:rPr>
          <w:rFonts w:hint="eastAsia"/>
        </w:rPr>
      </w:pPr>
      <w:r>
        <w:rPr>
          <w:rFonts w:hint="eastAsia"/>
          <w:lang w:val="en-US" w:eastAsia="zh-CN"/>
        </w:rPr>
        <w:t>（50Hz～3100kHz反射损耗大于18dB）</w:t>
      </w:r>
    </w:p>
    <w:p w14:paraId="5E6EEB1F">
      <w:pPr>
        <w:rPr>
          <w:rFonts w:hint="eastAsia"/>
        </w:rPr>
      </w:pPr>
      <w:r>
        <w:rPr>
          <w:rFonts w:hint="eastAsia"/>
          <w:lang w:val="en-US" w:eastAsia="zh-CN"/>
        </w:rPr>
        <w:t>*信号结构：</w:t>
      </w:r>
    </w:p>
    <w:p w14:paraId="10EF0D47">
      <w:pPr>
        <w:rPr>
          <w:rFonts w:hint="eastAsia"/>
        </w:rPr>
      </w:pPr>
      <w:r>
        <w:rPr>
          <w:rFonts w:hint="eastAsia"/>
          <w:lang w:val="en-US" w:eastAsia="zh-CN"/>
        </w:rPr>
        <w:t>--非帧结构</w:t>
      </w:r>
    </w:p>
    <w:p w14:paraId="30AB786C">
      <w:pPr>
        <w:rPr>
          <w:rFonts w:hint="eastAsia"/>
        </w:rPr>
      </w:pPr>
      <w:r>
        <w:rPr>
          <w:rFonts w:hint="eastAsia"/>
          <w:lang w:val="en-US" w:eastAsia="zh-CN"/>
        </w:rPr>
        <w:t>--帧结构：PCM30、PCM31、PCM30CRC、PCM31CRC    帧结构符合G.704要求</w:t>
      </w:r>
    </w:p>
    <w:p w14:paraId="3DE6210A">
      <w:pPr>
        <w:rPr>
          <w:rFonts w:hint="eastAsia"/>
        </w:rPr>
      </w:pPr>
      <w:r>
        <w:rPr>
          <w:rFonts w:hint="eastAsia"/>
          <w:lang w:val="en-US" w:eastAsia="zh-CN"/>
        </w:rPr>
        <w:t>*测试图案：2E6-1、2E9-1、2E11-1、2E15-1、2E20-1、2E23-1、人工码</w:t>
      </w:r>
    </w:p>
    <w:p w14:paraId="7DE73BDF">
      <w:pPr>
        <w:rPr>
          <w:rFonts w:hint="eastAsia"/>
        </w:rPr>
      </w:pPr>
      <w:r>
        <w:rPr>
          <w:rFonts w:hint="eastAsia"/>
          <w:lang w:val="en-US" w:eastAsia="zh-CN"/>
        </w:rPr>
        <w:t>*输出接口阻抗：</w:t>
      </w:r>
    </w:p>
    <w:p w14:paraId="3815D08D">
      <w:pPr>
        <w:rPr>
          <w:rFonts w:hint="eastAsia"/>
        </w:rPr>
      </w:pPr>
      <w:r>
        <w:rPr>
          <w:rFonts w:hint="eastAsia"/>
          <w:lang w:val="en-US" w:eastAsia="zh-CN"/>
        </w:rPr>
        <w:t>--非平衡 75Ω 符合G.703</w:t>
      </w:r>
    </w:p>
    <w:p w14:paraId="36F4581C">
      <w:pPr>
        <w:rPr>
          <w:rFonts w:hint="eastAsia"/>
        </w:rPr>
      </w:pPr>
      <w:r>
        <w:rPr>
          <w:rFonts w:hint="eastAsia"/>
          <w:lang w:val="en-US" w:eastAsia="zh-CN"/>
        </w:rPr>
        <w:t>--平衡 120Ω 符合G.703</w:t>
      </w:r>
    </w:p>
    <w:p w14:paraId="3BBE05AA">
      <w:pPr>
        <w:rPr>
          <w:rFonts w:hint="eastAsia"/>
        </w:rPr>
      </w:pPr>
      <w:r>
        <w:rPr>
          <w:rFonts w:hint="eastAsia"/>
          <w:lang w:val="en-US" w:eastAsia="zh-CN"/>
        </w:rPr>
        <w:t xml:space="preserve">*外时钟输入： </w:t>
      </w:r>
    </w:p>
    <w:p w14:paraId="07967F15">
      <w:pPr>
        <w:rPr>
          <w:rFonts w:hint="eastAsia"/>
        </w:rPr>
      </w:pPr>
      <w:r>
        <w:rPr>
          <w:rFonts w:hint="eastAsia"/>
          <w:lang w:val="en-US" w:eastAsia="zh-CN"/>
        </w:rPr>
        <w:t>--信号形式： HDB3、NRZ</w:t>
      </w:r>
    </w:p>
    <w:p w14:paraId="5615A5E5">
      <w:pPr>
        <w:rPr>
          <w:rFonts w:hint="eastAsia"/>
        </w:rPr>
      </w:pPr>
      <w:r>
        <w:rPr>
          <w:rFonts w:hint="eastAsia"/>
          <w:lang w:val="en-US" w:eastAsia="zh-CN"/>
        </w:rPr>
        <w:t>--平衡终接阻抗： 120Ω</w:t>
      </w:r>
    </w:p>
    <w:p w14:paraId="77A5ADA1">
      <w:pPr>
        <w:rPr>
          <w:rFonts w:hint="eastAsia"/>
        </w:rPr>
      </w:pPr>
      <w:r>
        <w:rPr>
          <w:rFonts w:hint="eastAsia"/>
          <w:lang w:val="en-US" w:eastAsia="zh-CN"/>
        </w:rPr>
        <w:t>*非平衡终接阻抗：75Ω； 平衡桥接阻抗： 大于1200Ω； 非平衡桥接阻抗：大于750Ω</w:t>
      </w:r>
    </w:p>
    <w:p w14:paraId="357A9F4C">
      <w:pPr>
        <w:rPr>
          <w:rFonts w:hint="eastAsia"/>
        </w:rPr>
      </w:pPr>
      <w:r>
        <w:rPr>
          <w:rFonts w:hint="eastAsia"/>
          <w:lang w:val="en-US" w:eastAsia="zh-CN"/>
        </w:rPr>
        <w:t>*误码插入：无，单个，比例插入10-1～10-7</w:t>
      </w:r>
    </w:p>
    <w:p w14:paraId="3DDBAC97">
      <w:pPr>
        <w:rPr>
          <w:rFonts w:hint="eastAsia"/>
        </w:rPr>
      </w:pPr>
      <w:r>
        <w:rPr>
          <w:rFonts w:hint="eastAsia"/>
          <w:lang w:val="en-US" w:eastAsia="zh-CN"/>
        </w:rPr>
        <w:t>*</w:t>
      </w:r>
      <w:r>
        <w:rPr>
          <w:rFonts w:hint="eastAsia"/>
          <w:b/>
          <w:bCs/>
          <w:lang w:val="en-US" w:eastAsia="zh-CN"/>
        </w:rPr>
        <w:t>同向64K技术指标</w:t>
      </w:r>
      <w:r>
        <w:rPr>
          <w:rFonts w:hint="eastAsia"/>
          <w:lang w:val="en-US" w:eastAsia="zh-CN"/>
        </w:rPr>
        <w:t xml:space="preserve"> </w:t>
      </w:r>
    </w:p>
    <w:p w14:paraId="3DE650BF">
      <w:pPr>
        <w:rPr>
          <w:rFonts w:hint="eastAsia"/>
        </w:rPr>
      </w:pPr>
      <w:r>
        <w:rPr>
          <w:rFonts w:hint="eastAsia"/>
          <w:lang w:val="en-US" w:eastAsia="zh-CN"/>
        </w:rPr>
        <w:t>--信号输入速率： 64kbit/s ± 100ppm（G.703要求±100PPM）</w:t>
      </w:r>
    </w:p>
    <w:p w14:paraId="23C34D31">
      <w:pPr>
        <w:rPr>
          <w:rFonts w:hint="eastAsia"/>
        </w:rPr>
      </w:pPr>
      <w:r>
        <w:rPr>
          <w:rFonts w:hint="eastAsia"/>
          <w:lang w:val="en-US" w:eastAsia="zh-CN"/>
        </w:rPr>
        <w:t>--输入阻抗： 平衡 120Ω 符合G.703</w:t>
      </w:r>
    </w:p>
    <w:p w14:paraId="63EA9AE5">
      <w:pPr>
        <w:rPr>
          <w:rFonts w:hint="eastAsia"/>
        </w:rPr>
      </w:pPr>
      <w:r>
        <w:rPr>
          <w:rFonts w:hint="eastAsia"/>
          <w:lang w:val="en-US" w:eastAsia="zh-CN"/>
        </w:rPr>
        <w:t xml:space="preserve">--输入抖动容限： 符合G.823 </w:t>
      </w:r>
    </w:p>
    <w:p w14:paraId="68452978">
      <w:pPr>
        <w:rPr>
          <w:rFonts w:hint="eastAsia"/>
        </w:rPr>
      </w:pPr>
      <w:r>
        <w:rPr>
          <w:rFonts w:hint="eastAsia"/>
          <w:lang w:val="en-US" w:eastAsia="zh-CN"/>
        </w:rPr>
        <w:t>--输出接口阻抗： 平衡 120Ω 符合G.703</w:t>
      </w:r>
    </w:p>
    <w:p w14:paraId="70858CC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--测试图案：2E6-1、2E9-1、2E11-1、2E15-1、2E20-1、2E23-1、人工码</w:t>
      </w:r>
    </w:p>
    <w:p w14:paraId="4E7BB52D"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*数据接口指标</w:t>
      </w:r>
    </w:p>
    <w:p w14:paraId="38BB0299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*数据接口类型：V.24、V.35、V.36、X.21、RS-449</w:t>
      </w:r>
    </w:p>
    <w:p w14:paraId="4646EA24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*发生器 </w:t>
      </w:r>
    </w:p>
    <w:p w14:paraId="2EB1C311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*同步模式</w:t>
      </w:r>
    </w:p>
    <w:p w14:paraId="6946BC3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--时钟源：内部时钟，接收时钟</w:t>
      </w:r>
    </w:p>
    <w:p w14:paraId="42FE371B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--时钟数据的相位关系：同向，反向。</w:t>
      </w:r>
    </w:p>
    <w:p w14:paraId="2885CAB0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--速率：1.2，2.4，4.8，9.6，14.4，19.2，38.4，48，56(kbps)；N×64kbps（N=1～32）</w:t>
      </w:r>
    </w:p>
    <w:p w14:paraId="11676202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--误差:±15ppm（ppm为百万分之一）</w:t>
      </w:r>
    </w:p>
    <w:p w14:paraId="7BE7D0D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--误码插入：无，单个，比例插入10-1～10-7</w:t>
      </w:r>
    </w:p>
    <w:p w14:paraId="322514F2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*接收器</w:t>
      </w:r>
    </w:p>
    <w:p w14:paraId="0F5C7BF2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--同步模式</w:t>
      </w:r>
    </w:p>
    <w:p w14:paraId="761A2066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--时钟源：内部时钟，接收时钟</w:t>
      </w:r>
    </w:p>
    <w:p w14:paraId="5C116A8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--接收时钟与接收数据的相位关系：同向，反向。</w:t>
      </w:r>
    </w:p>
    <w:p w14:paraId="0758BF19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--时钟速率：最大2048kbps.</w:t>
      </w:r>
    </w:p>
    <w:p w14:paraId="40B4AE41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*测试图案：2E6-1、2E9-1、2E11-1、2E15-1、2E20-1、2E23-1、人工码</w:t>
      </w:r>
    </w:p>
    <w:p w14:paraId="4E90C900">
      <w:pPr>
        <w:numPr>
          <w:ilvl w:val="0"/>
          <w:numId w:val="0"/>
        </w:numPr>
        <w:ind w:leftChars="0"/>
        <w:rPr>
          <w:rFonts w:hint="eastAsia"/>
          <w:b/>
          <w:bCs/>
          <w:sz w:val="24"/>
          <w:szCs w:val="24"/>
          <w:lang w:val="en-US" w:eastAsia="zh-CN"/>
        </w:rPr>
      </w:pPr>
    </w:p>
    <w:p w14:paraId="227DEF32">
      <w:pPr>
        <w:numPr>
          <w:ilvl w:val="0"/>
          <w:numId w:val="0"/>
        </w:numPr>
        <w:ind w:leftChars="0"/>
        <w:rPr>
          <w:rFonts w:hint="default"/>
          <w:b/>
          <w:bCs/>
          <w:sz w:val="24"/>
          <w:szCs w:val="24"/>
          <w:lang w:val="en-US" w:eastAsia="zh-CN"/>
        </w:rPr>
      </w:pPr>
      <w:bookmarkStart w:id="0" w:name="_GoBack"/>
      <w:bookmarkEnd w:id="0"/>
      <w:r>
        <w:rPr>
          <w:rFonts w:hint="eastAsia"/>
          <w:b/>
          <w:bCs/>
          <w:sz w:val="24"/>
          <w:szCs w:val="24"/>
          <w:lang w:val="en-US" w:eastAsia="zh-CN"/>
        </w:rPr>
        <w:t>四、一般参数</w:t>
      </w:r>
    </w:p>
    <w:p w14:paraId="1F02C543">
      <w:pPr>
        <w:numPr>
          <w:ilvl w:val="0"/>
          <w:numId w:val="0"/>
        </w:numPr>
        <w:ind w:left="0" w:leftChars="0"/>
        <w:rPr>
          <w:rFonts w:hint="eastAsia"/>
          <w:lang w:eastAsia="zh-CN"/>
        </w:rPr>
      </w:pPr>
      <w:r>
        <w:rPr>
          <w:rFonts w:hint="eastAsia"/>
          <w:lang w:val="en-US" w:eastAsia="zh-CN"/>
        </w:rPr>
        <w:t>*供电：</w:t>
      </w:r>
    </w:p>
    <w:p w14:paraId="7F47A157">
      <w:pPr>
        <w:numPr>
          <w:ilvl w:val="0"/>
          <w:numId w:val="0"/>
        </w:numPr>
        <w:ind w:left="0" w:leftChars="0"/>
        <w:rPr>
          <w:rFonts w:hint="eastAsia"/>
          <w:lang w:eastAsia="zh-CN"/>
        </w:rPr>
      </w:pPr>
      <w:r>
        <w:rPr>
          <w:rFonts w:hint="eastAsia"/>
          <w:lang w:val="en-US" w:eastAsia="zh-CN"/>
        </w:rPr>
        <w:t>--本仪表专用电源适配器：INPUT:AC220V 50Hz   OUTPUT:DC 9V 1A</w:t>
      </w:r>
    </w:p>
    <w:p w14:paraId="32F17CF2">
      <w:pPr>
        <w:numPr>
          <w:ilvl w:val="0"/>
          <w:numId w:val="0"/>
        </w:numPr>
        <w:ind w:left="0"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--仪表内部充电电池：4000mAh 6V 镍氢可充电电池</w:t>
      </w:r>
    </w:p>
    <w:p w14:paraId="4247CC3A">
      <w:pPr>
        <w:numPr>
          <w:ilvl w:val="0"/>
          <w:numId w:val="0"/>
        </w:numPr>
        <w:ind w:left="0" w:leftChars="0"/>
        <w:rPr>
          <w:rFonts w:hint="eastAsia"/>
          <w:lang w:eastAsia="zh-CN"/>
        </w:rPr>
      </w:pPr>
      <w:r>
        <w:rPr>
          <w:rFonts w:hint="eastAsia"/>
          <w:lang w:val="en-US" w:eastAsia="zh-CN"/>
        </w:rPr>
        <w:t>*工作时间：8小时</w:t>
      </w:r>
    </w:p>
    <w:p w14:paraId="3FD5461F">
      <w:pPr>
        <w:numPr>
          <w:ilvl w:val="0"/>
          <w:numId w:val="0"/>
        </w:numPr>
        <w:ind w:left="0" w:leftChars="0"/>
        <w:rPr>
          <w:rFonts w:hint="eastAsia"/>
          <w:lang w:eastAsia="zh-CN"/>
        </w:rPr>
      </w:pPr>
      <w:r>
        <w:rPr>
          <w:rFonts w:hint="eastAsia"/>
          <w:lang w:val="en-US" w:eastAsia="zh-CN"/>
        </w:rPr>
        <w:t>*充电：关机时充电8小时；开机时充电12小时</w:t>
      </w:r>
    </w:p>
    <w:p w14:paraId="52B5AF53">
      <w:pPr>
        <w:numPr>
          <w:ilvl w:val="0"/>
          <w:numId w:val="0"/>
        </w:numPr>
        <w:ind w:left="0"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*尺寸和重量：长×宽×高：200×160×42mm</w:t>
      </w:r>
    </w:p>
    <w:p w14:paraId="525625AF">
      <w:pPr>
        <w:numPr>
          <w:ilvl w:val="0"/>
          <w:numId w:val="0"/>
        </w:numPr>
        <w:ind w:left="0" w:leftChars="0"/>
        <w:rPr>
          <w:rFonts w:hint="eastAsia"/>
          <w:lang w:eastAsia="zh-CN"/>
        </w:rPr>
      </w:pPr>
      <w:r>
        <w:rPr>
          <w:rFonts w:hint="eastAsia"/>
          <w:lang w:val="en-US" w:eastAsia="zh-CN"/>
        </w:rPr>
        <w:t>*重 量： 0.95kg</w:t>
      </w:r>
    </w:p>
    <w:p w14:paraId="31D69B41">
      <w:pPr>
        <w:numPr>
          <w:ilvl w:val="0"/>
          <w:numId w:val="0"/>
        </w:numPr>
        <w:ind w:left="0"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*环境参数：</w:t>
      </w:r>
    </w:p>
    <w:p w14:paraId="601D198D">
      <w:pPr>
        <w:numPr>
          <w:ilvl w:val="0"/>
          <w:numId w:val="0"/>
        </w:numPr>
        <w:ind w:left="0"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--操作温度： 0～40℃</w:t>
      </w:r>
    </w:p>
    <w:p w14:paraId="655C4ECF">
      <w:pPr>
        <w:numPr>
          <w:ilvl w:val="0"/>
          <w:numId w:val="0"/>
        </w:numPr>
        <w:ind w:left="0"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--储藏温度： -30～+70℃</w:t>
      </w:r>
    </w:p>
    <w:p w14:paraId="7AEBC34F">
      <w:pPr>
        <w:numPr>
          <w:ilvl w:val="0"/>
          <w:numId w:val="0"/>
        </w:numPr>
        <w:ind w:left="0" w:leftChars="0"/>
        <w:rPr>
          <w:rFonts w:hint="eastAsia"/>
          <w:lang w:eastAsia="zh-CN"/>
        </w:rPr>
      </w:pPr>
      <w:r>
        <w:rPr>
          <w:rFonts w:hint="eastAsia"/>
          <w:lang w:val="en-US" w:eastAsia="zh-CN"/>
        </w:rPr>
        <w:t>--湿 度： 5%～90%非凝结</w:t>
      </w:r>
    </w:p>
    <w:p w14:paraId="70988A26">
      <w:pPr>
        <w:numPr>
          <w:ilvl w:val="0"/>
          <w:numId w:val="0"/>
        </w:numPr>
        <w:ind w:leftChars="0"/>
        <w:rPr>
          <w:rFonts w:hint="eastAsia"/>
          <w:b/>
          <w:bCs/>
          <w:sz w:val="24"/>
          <w:szCs w:val="24"/>
          <w:lang w:val="en-US" w:eastAsia="zh-CN"/>
        </w:rPr>
      </w:pPr>
    </w:p>
    <w:p w14:paraId="568F8856">
      <w:pPr>
        <w:numPr>
          <w:ilvl w:val="0"/>
          <w:numId w:val="0"/>
        </w:numPr>
        <w:ind w:leftChars="0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五、产品配置</w:t>
      </w:r>
    </w:p>
    <w:p w14:paraId="6DFECAE7">
      <w:pPr>
        <w:numPr>
          <w:ilvl w:val="0"/>
          <w:numId w:val="0"/>
        </w:numPr>
        <w:rPr>
          <w:rFonts w:hint="eastAsia"/>
          <w:lang w:eastAsia="zh-CN"/>
        </w:rPr>
      </w:pPr>
      <w:r>
        <w:rPr>
          <w:rFonts w:hint="eastAsia"/>
          <w:lang w:eastAsia="zh-CN"/>
        </w:rPr>
        <w:t>主机、75欧测试电缆线、75欧三通自环头、RS232串行升级电缆、DATA转换线(36PIN到44PIN)、X.21测试线、V.35测试线、AC电源适配器合格证、仿真软件、仪表便携软包、</w:t>
      </w:r>
    </w:p>
    <w:p w14:paraId="649F4412">
      <w:pPr>
        <w:numPr>
          <w:ilvl w:val="0"/>
          <w:numId w:val="0"/>
        </w:numPr>
        <w:rPr>
          <w:rFonts w:hint="default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lang w:eastAsia="zh-CN"/>
        </w:rPr>
        <w:t>用户手册、保修单、合格证、V2.4测试线、V.11测试线</w:t>
      </w:r>
    </w:p>
    <w:p w14:paraId="28686126">
      <w:pPr>
        <w:numPr>
          <w:ilvl w:val="0"/>
          <w:numId w:val="0"/>
        </w:numP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</w:pPr>
    </w:p>
    <w:p w14:paraId="141EE238"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六</w:t>
      </w: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、</w:t>
      </w:r>
      <w:r>
        <w:rPr>
          <w:rFonts w:hint="eastAsia"/>
          <w:b/>
          <w:bCs/>
          <w:sz w:val="24"/>
          <w:szCs w:val="24"/>
          <w:lang w:val="en-US" w:eastAsia="zh-CN"/>
        </w:rPr>
        <w:t>核心应用行业</w:t>
      </w:r>
    </w:p>
    <w:p w14:paraId="656F0359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部队、电力、石油、石化、航空、运营商、铁路、高速、能源……</w:t>
      </w:r>
    </w:p>
    <w:p w14:paraId="55C41E06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2E6AB88F"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七</w:t>
      </w: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、</w:t>
      </w:r>
      <w:r>
        <w:rPr>
          <w:rFonts w:hint="eastAsia"/>
          <w:b/>
          <w:bCs/>
          <w:sz w:val="24"/>
          <w:szCs w:val="24"/>
          <w:lang w:val="en-US" w:eastAsia="zh-CN"/>
        </w:rPr>
        <w:t>售后服务</w:t>
      </w:r>
    </w:p>
    <w:p w14:paraId="1EEABFEE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default"/>
          <w:lang w:val="en-US" w:eastAsia="zh-CN"/>
        </w:rPr>
        <w:t xml:space="preserve">全国联保 / 7×24 小时响应 / </w:t>
      </w:r>
      <w:r>
        <w:rPr>
          <w:rFonts w:hint="eastAsia"/>
          <w:lang w:val="en-US" w:eastAsia="zh-CN"/>
        </w:rPr>
        <w:t>主机</w:t>
      </w:r>
      <w:r>
        <w:rPr>
          <w:rFonts w:hint="default"/>
          <w:lang w:val="en-US" w:eastAsia="zh-CN"/>
        </w:rPr>
        <w:t>质保</w:t>
      </w:r>
      <w:r>
        <w:rPr>
          <w:rFonts w:hint="eastAsia"/>
          <w:lang w:val="en-US" w:eastAsia="zh-CN"/>
        </w:rPr>
        <w:t>1</w:t>
      </w:r>
      <w:r>
        <w:rPr>
          <w:rFonts w:hint="default"/>
          <w:lang w:val="en-US" w:eastAsia="zh-CN"/>
        </w:rPr>
        <w:t xml:space="preserve"> 年（</w:t>
      </w:r>
      <w:r>
        <w:rPr>
          <w:rFonts w:hint="eastAsia"/>
          <w:lang w:val="en-US" w:eastAsia="zh-CN"/>
        </w:rPr>
        <w:t>配件</w:t>
      </w:r>
      <w:r>
        <w:rPr>
          <w:rFonts w:hint="default"/>
          <w:lang w:val="en-US" w:eastAsia="zh-CN"/>
        </w:rPr>
        <w:t>部件质保</w:t>
      </w:r>
      <w:r>
        <w:rPr>
          <w:rFonts w:hint="eastAsia"/>
          <w:lang w:val="en-US" w:eastAsia="zh-CN"/>
        </w:rPr>
        <w:t>半</w:t>
      </w:r>
      <w:r>
        <w:rPr>
          <w:rFonts w:hint="default"/>
          <w:lang w:val="en-US" w:eastAsia="zh-CN"/>
        </w:rPr>
        <w:t>年）​</w:t>
      </w:r>
    </w:p>
    <w:p w14:paraId="1335403C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default"/>
          <w:lang w:val="en-US" w:eastAsia="zh-CN"/>
        </w:rPr>
        <w:t>报修渠道</w:t>
      </w:r>
      <w:r>
        <w:rPr>
          <w:rFonts w:hint="eastAsia"/>
          <w:lang w:val="en-US" w:eastAsia="zh-CN"/>
        </w:rPr>
        <w:t>：杨工 18108048914</w:t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0" w:num="1"/>
      <w:rtlGutter w:val="0"/>
      <w:docGrid w:type="lines" w:linePitch="387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5CD170">
    <w:pPr>
      <w:pStyle w:val="11"/>
      <w:rPr>
        <w:rFonts w:hint="default"/>
        <w:sz w:val="24"/>
        <w:szCs w:val="24"/>
        <w:lang w:val="en-US" w:eastAsia="zh-CN"/>
      </w:rPr>
    </w:pPr>
    <w:r>
      <w:rPr>
        <w:rFonts w:hint="eastAsia"/>
        <w:lang w:val="en-US" w:eastAsia="zh-CN"/>
      </w:rPr>
      <w:t>官网：</w:t>
    </w:r>
    <w:r>
      <w:rPr>
        <w:rFonts w:hint="eastAsia"/>
        <w:sz w:val="24"/>
        <w:szCs w:val="24"/>
        <w:lang w:val="en-US" w:eastAsia="zh-CN"/>
      </w:rPr>
      <w:fldChar w:fldCharType="begin"/>
    </w:r>
    <w:r>
      <w:rPr>
        <w:rFonts w:hint="eastAsia"/>
        <w:sz w:val="24"/>
        <w:szCs w:val="24"/>
        <w:lang w:val="en-US" w:eastAsia="zh-CN"/>
      </w:rPr>
      <w:instrText xml:space="preserve"> HYPERLINK "http://www.dingxunacnn.com" </w:instrText>
    </w:r>
    <w:r>
      <w:rPr>
        <w:rFonts w:hint="eastAsia"/>
        <w:sz w:val="24"/>
        <w:szCs w:val="24"/>
        <w:lang w:val="en-US" w:eastAsia="zh-CN"/>
      </w:rPr>
      <w:fldChar w:fldCharType="separate"/>
    </w:r>
    <w:r>
      <w:rPr>
        <w:rStyle w:val="16"/>
        <w:rFonts w:hint="eastAsia"/>
        <w:sz w:val="24"/>
        <w:szCs w:val="24"/>
        <w:lang w:val="en-US" w:eastAsia="zh-CN"/>
      </w:rPr>
      <w:t>www.dingxunacnn.com</w:t>
    </w:r>
    <w:r>
      <w:rPr>
        <w:rFonts w:hint="eastAsia"/>
        <w:sz w:val="24"/>
        <w:szCs w:val="24"/>
        <w:lang w:val="en-US" w:eastAsia="zh-CN"/>
      </w:rPr>
      <w:fldChar w:fldCharType="end"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49DDE11">
    <w:pPr>
      <w:pStyle w:val="12"/>
      <w:rPr>
        <w:rFonts w:hint="default" w:eastAsia="微软雅黑"/>
        <w:lang w:val="en-US" w:eastAsia="zh-CN"/>
      </w:rPr>
    </w:pPr>
    <w:r>
      <w:drawing>
        <wp:inline distT="0" distB="0" distL="114300" distR="114300">
          <wp:extent cx="326390" cy="326390"/>
          <wp:effectExtent l="0" t="0" r="16510" b="16510"/>
          <wp:docPr id="3" name="图片 2" descr="91e164542513c935d312ed5de54dde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2" descr="91e164542513c935d312ed5de54dde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26390" cy="3263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lang w:val="en-US" w:eastAsia="zh-CN"/>
      </w:rPr>
      <w:t xml:space="preserve">                                               成都鼎讯信通科技有限公司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attachedTemplate r:id="rId1"/>
  <w:documentProtection w:enforcement="0"/>
  <w:defaultTabStop w:val="420"/>
  <w:drawingGridHorizontalSpacing w:val="210"/>
  <w:drawingGridVerticalSpacing w:val="194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AA24D9F"/>
    <w:rsid w:val="01415CD2"/>
    <w:rsid w:val="07011CC2"/>
    <w:rsid w:val="07644792"/>
    <w:rsid w:val="09284798"/>
    <w:rsid w:val="0F2B6FD9"/>
    <w:rsid w:val="14805E6D"/>
    <w:rsid w:val="183C240D"/>
    <w:rsid w:val="19DE010A"/>
    <w:rsid w:val="1AA24D9F"/>
    <w:rsid w:val="1CAC58FC"/>
    <w:rsid w:val="22DF47CF"/>
    <w:rsid w:val="24AF1021"/>
    <w:rsid w:val="28DA2E89"/>
    <w:rsid w:val="2A4254F9"/>
    <w:rsid w:val="2CDA780B"/>
    <w:rsid w:val="2D1F32F4"/>
    <w:rsid w:val="2EB42885"/>
    <w:rsid w:val="30B579BF"/>
    <w:rsid w:val="323B4D81"/>
    <w:rsid w:val="34B70380"/>
    <w:rsid w:val="370C1079"/>
    <w:rsid w:val="3A74376F"/>
    <w:rsid w:val="3AE174A3"/>
    <w:rsid w:val="415B003E"/>
    <w:rsid w:val="43446334"/>
    <w:rsid w:val="44A84E71"/>
    <w:rsid w:val="459308C3"/>
    <w:rsid w:val="477DCE1E"/>
    <w:rsid w:val="52D43CC9"/>
    <w:rsid w:val="573E1E21"/>
    <w:rsid w:val="57DE25BD"/>
    <w:rsid w:val="58F256A7"/>
    <w:rsid w:val="5A4968FF"/>
    <w:rsid w:val="5B487E91"/>
    <w:rsid w:val="5CF9550F"/>
    <w:rsid w:val="5EFEBDE8"/>
    <w:rsid w:val="607320D3"/>
    <w:rsid w:val="61875360"/>
    <w:rsid w:val="63320977"/>
    <w:rsid w:val="63CF3776"/>
    <w:rsid w:val="6692787F"/>
    <w:rsid w:val="68CA2609"/>
    <w:rsid w:val="68CC1AED"/>
    <w:rsid w:val="69BB0F42"/>
    <w:rsid w:val="6A637494"/>
    <w:rsid w:val="6BCF62E6"/>
    <w:rsid w:val="6C00225C"/>
    <w:rsid w:val="6C062527"/>
    <w:rsid w:val="6CD3A16D"/>
    <w:rsid w:val="6D535020"/>
    <w:rsid w:val="6E5F49A6"/>
    <w:rsid w:val="6EA878F9"/>
    <w:rsid w:val="6FAF771C"/>
    <w:rsid w:val="6FFF37D2"/>
    <w:rsid w:val="70DE2EF1"/>
    <w:rsid w:val="743A77AB"/>
    <w:rsid w:val="799A287B"/>
    <w:rsid w:val="7C5F4108"/>
    <w:rsid w:val="7F79C282"/>
    <w:rsid w:val="7F7B6CAE"/>
    <w:rsid w:val="7FBF6DD0"/>
    <w:rsid w:val="7FCD17FE"/>
    <w:rsid w:val="7FD7E9A0"/>
    <w:rsid w:val="7FE9FBB2"/>
    <w:rsid w:val="8FFFA67E"/>
    <w:rsid w:val="A97F623E"/>
    <w:rsid w:val="AFBF8780"/>
    <w:rsid w:val="BEEFCB4B"/>
    <w:rsid w:val="BFE6F841"/>
    <w:rsid w:val="D5DE8897"/>
    <w:rsid w:val="E7FE3684"/>
    <w:rsid w:val="EFFF70E4"/>
    <w:rsid w:val="F7EEC240"/>
    <w:rsid w:val="FBF75102"/>
    <w:rsid w:val="FDDC5620"/>
    <w:rsid w:val="FDEA700A"/>
    <w:rsid w:val="FFBFCE4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0" w:semiHidden="0" w:name="heading 7"/>
    <w:lsdException w:qFormat="1" w:uiPriority="0" w:semiHidden="0" w:name="heading 8"/>
    <w:lsdException w:qFormat="1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Arial" w:hAnsi="Arial" w:eastAsia="微软雅黑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260" w:beforeLines="0" w:beforeAutospacing="0" w:after="220" w:afterLines="0" w:afterAutospacing="0" w:line="240" w:lineRule="auto"/>
      <w:outlineLvl w:val="0"/>
    </w:pPr>
    <w:rPr>
      <w:rFonts w:ascii="Arial" w:hAnsi="Arial"/>
      <w:b/>
      <w:kern w:val="44"/>
      <w:sz w:val="36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00" w:afterLines="0" w:afterAutospacing="0" w:line="240" w:lineRule="auto"/>
      <w:outlineLvl w:val="1"/>
    </w:pPr>
    <w:rPr>
      <w:rFonts w:ascii="Arial" w:hAnsi="Arial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180" w:afterLines="0" w:afterAutospacing="0" w:line="240" w:lineRule="auto"/>
      <w:outlineLvl w:val="2"/>
    </w:pPr>
    <w:rPr>
      <w:rFonts w:ascii="Arial" w:hAnsi="Arial"/>
      <w:b/>
      <w:sz w:val="30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40" w:beforeLines="0" w:beforeAutospacing="0" w:after="160" w:afterLines="0" w:afterAutospacing="0" w:line="240" w:lineRule="auto"/>
      <w:outlineLvl w:val="3"/>
    </w:pPr>
    <w:rPr>
      <w:rFonts w:ascii="Arial" w:hAnsi="Arial"/>
      <w:b/>
      <w:sz w:val="28"/>
    </w:rPr>
  </w:style>
  <w:style w:type="paragraph" w:styleId="6">
    <w:name w:val="heading 5"/>
    <w:basedOn w:val="1"/>
    <w:next w:val="1"/>
    <w:unhideWhenUsed/>
    <w:qFormat/>
    <w:uiPriority w:val="0"/>
    <w:pPr>
      <w:keepNext/>
      <w:keepLines/>
      <w:spacing w:before="240" w:beforeLines="0" w:beforeAutospacing="0" w:after="160" w:afterLines="0" w:afterAutospacing="0" w:line="240" w:lineRule="auto"/>
      <w:outlineLvl w:val="4"/>
    </w:pPr>
    <w:rPr>
      <w:rFonts w:ascii="Arial" w:hAnsi="Arial"/>
      <w:b/>
      <w:sz w:val="28"/>
    </w:rPr>
  </w:style>
  <w:style w:type="paragraph" w:styleId="7">
    <w:name w:val="heading 6"/>
    <w:basedOn w:val="1"/>
    <w:next w:val="1"/>
    <w:unhideWhenUsed/>
    <w:qFormat/>
    <w:uiPriority w:val="0"/>
    <w:pPr>
      <w:keepNext/>
      <w:keepLines/>
      <w:spacing w:before="240" w:beforeLines="0" w:beforeAutospacing="0" w:after="120" w:afterLines="0" w:afterAutospacing="0" w:line="240" w:lineRule="auto"/>
      <w:outlineLvl w:val="5"/>
    </w:pPr>
    <w:rPr>
      <w:rFonts w:ascii="Arial" w:hAnsi="Arial"/>
      <w:b/>
      <w:sz w:val="24"/>
    </w:rPr>
  </w:style>
  <w:style w:type="paragraph" w:styleId="8">
    <w:name w:val="heading 7"/>
    <w:basedOn w:val="1"/>
    <w:next w:val="1"/>
    <w:unhideWhenUsed/>
    <w:qFormat/>
    <w:uiPriority w:val="0"/>
    <w:pPr>
      <w:keepNext/>
      <w:keepLines/>
      <w:spacing w:before="240" w:beforeLines="0" w:beforeAutospacing="0" w:after="120" w:afterLines="0" w:afterAutospacing="0" w:line="240" w:lineRule="auto"/>
      <w:outlineLvl w:val="6"/>
    </w:pPr>
    <w:rPr>
      <w:rFonts w:ascii="Arial" w:hAnsi="Arial"/>
      <w:b/>
      <w:sz w:val="24"/>
    </w:rPr>
  </w:style>
  <w:style w:type="paragraph" w:styleId="9">
    <w:name w:val="heading 8"/>
    <w:basedOn w:val="1"/>
    <w:next w:val="1"/>
    <w:unhideWhenUsed/>
    <w:qFormat/>
    <w:uiPriority w:val="0"/>
    <w:pPr>
      <w:keepNext/>
      <w:keepLines/>
      <w:spacing w:before="180" w:beforeLines="0" w:beforeAutospacing="0" w:after="64" w:afterLines="0" w:afterAutospacing="0" w:line="240" w:lineRule="auto"/>
      <w:outlineLvl w:val="7"/>
    </w:pPr>
    <w:rPr>
      <w:rFonts w:ascii="Arial" w:hAnsi="Arial"/>
      <w:sz w:val="24"/>
    </w:rPr>
  </w:style>
  <w:style w:type="paragraph" w:styleId="10">
    <w:name w:val="heading 9"/>
    <w:basedOn w:val="1"/>
    <w:next w:val="1"/>
    <w:unhideWhenUsed/>
    <w:qFormat/>
    <w:uiPriority w:val="0"/>
    <w:pPr>
      <w:keepNext/>
      <w:keepLines/>
      <w:spacing w:before="180" w:beforeLines="0" w:beforeAutospacing="0" w:after="64" w:afterLines="0" w:afterAutospacing="0" w:line="240" w:lineRule="auto"/>
      <w:outlineLvl w:val="8"/>
    </w:pPr>
    <w:rPr>
      <w:rFonts w:ascii="Arial" w:hAnsi="Arial"/>
    </w:rPr>
  </w:style>
  <w:style w:type="character" w:default="1" w:styleId="15">
    <w:name w:val="Default Paragraph Font"/>
    <w:qFormat/>
    <w:uiPriority w:val="0"/>
    <w:rPr>
      <w:rFonts w:eastAsia="微软雅黑" w:asciiTheme="minorAscii" w:hAnsiTheme="minorAscii"/>
    </w:rPr>
  </w:style>
  <w:style w:type="table" w:default="1" w:styleId="1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2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14">
    <w:name w:val="Table Grid"/>
    <w:basedOn w:val="13"/>
    <w:qFormat/>
    <w:uiPriority w:val="0"/>
    <w:pPr>
      <w:widowControl w:val="0"/>
      <w:jc w:val="both"/>
    </w:pPr>
    <w:rPr>
      <w:rFonts w:eastAsia="宋体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6">
    <w:name w:val="Hyperlink"/>
    <w:basedOn w:val="15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ata\weboffice\C:\data\weboffice\C:\data\weboffice\C:\data\weboffice\C:\data\weboffice\C:\data\weboffice\C:\Users\June\Library\Containers\com.kingsoft.wpsoffice.mac\Data\C:\data\weboffice\C:\home\ranpeng\C:\Users\53YFKM2\AppData\Roaming\Kingsoft\wps\addons\pool\win-i386\knewfileres_1.0.0.3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3</Pages>
  <Words>1185</Words>
  <Characters>1594</Characters>
  <Lines>0</Lines>
  <Paragraphs>0</Paragraphs>
  <TotalTime>2</TotalTime>
  <ScaleCrop>false</ScaleCrop>
  <LinksUpToDate>false</LinksUpToDate>
  <CharactersWithSpaces>1713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2018-05-27T17:24:00Z</dcterms:created>
  <dc:creator>A</dc:creator>
  <cp:lastModifiedBy>shy yang</cp:lastModifiedBy>
  <dcterms:modified xsi:type="dcterms:W3CDTF">2025-12-10T03:06:09Z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woTemplateTypoMode" linkTarget="0">
    <vt:lpwstr/>
  </property>
  <property fmtid="{D5CDD505-2E9C-101B-9397-08002B2CF9AE}" pid="4" name="woTemplate" linkTarget="0">
    <vt:i4>0</vt:i4>
  </property>
  <property fmtid="{D5CDD505-2E9C-101B-9397-08002B2CF9AE}" pid="5" name="KSOTemplateDocerSaveRecord">
    <vt:lpwstr>eyJoZGlkIjoiYWJhMzZmYzcxMzgxMDZjNDBlNjAwMDhkYmNlYTlkMzAiLCJ1c2VySWQiOiIzNTYxMTIzNjIifQ==</vt:lpwstr>
  </property>
  <property fmtid="{D5CDD505-2E9C-101B-9397-08002B2CF9AE}" pid="6" name="ICV">
    <vt:lpwstr>80FEC70A2C7740D6AA9EE6C2D0EFA103_12</vt:lpwstr>
  </property>
</Properties>
</file>