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02E1C48">
      <w:pPr>
        <w:jc w:val="center"/>
        <w:rPr>
          <w:rFonts w:hint="default"/>
          <w:sz w:val="44"/>
          <w:szCs w:val="44"/>
          <w:lang w:val="en-US" w:eastAsia="zh-CN"/>
        </w:rPr>
      </w:pPr>
      <w:r>
        <w:rPr>
          <w:rFonts w:hint="eastAsia"/>
          <w:sz w:val="44"/>
          <w:szCs w:val="44"/>
          <w:lang w:val="en-US" w:eastAsia="zh-CN"/>
        </w:rPr>
        <w:t>鼎讯 2M误码仪 FM-200A</w:t>
      </w:r>
    </w:p>
    <w:p w14:paraId="15B557CF">
      <w:pPr>
        <w:rPr>
          <w:sz w:val="21"/>
        </w:rPr>
      </w:pPr>
      <w:r>
        <w:rPr>
          <w:sz w:val="21"/>
        </w:rPr>
        <mc:AlternateContent>
          <mc:Choice Requires="wps">
            <w:drawing>
              <wp:anchor distT="0" distB="0" distL="114300" distR="114300" simplePos="0" relativeHeight="251659264" behindDoc="0" locked="0" layoutInCell="1" allowOverlap="1">
                <wp:simplePos x="0" y="0"/>
                <wp:positionH relativeFrom="column">
                  <wp:posOffset>2502535</wp:posOffset>
                </wp:positionH>
                <wp:positionV relativeFrom="paragraph">
                  <wp:posOffset>59055</wp:posOffset>
                </wp:positionV>
                <wp:extent cx="2233930" cy="2105025"/>
                <wp:effectExtent l="5080" t="4445" r="8890" b="5080"/>
                <wp:wrapNone/>
                <wp:docPr id="6" name="文本框 6"/>
                <wp:cNvGraphicFramePr/>
                <a:graphic xmlns:a="http://schemas.openxmlformats.org/drawingml/2006/main">
                  <a:graphicData uri="http://schemas.microsoft.com/office/word/2010/wordprocessingShape">
                    <wps:wsp>
                      <wps:cNvSpPr txBox="1"/>
                      <wps:spPr>
                        <a:xfrm>
                          <a:off x="3620135" y="1231265"/>
                          <a:ext cx="2233930" cy="21050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6FBE035B">
                            <w:pPr>
                              <w:jc w:val="center"/>
                              <w:rPr>
                                <w:rFonts w:hint="eastAsia" w:eastAsia="微软雅黑"/>
                                <w:lang w:eastAsia="zh-CN"/>
                              </w:rPr>
                            </w:pPr>
                            <w:r>
                              <w:rPr>
                                <w:rFonts w:hint="eastAsia" w:eastAsia="微软雅黑"/>
                                <w:lang w:eastAsia="zh-CN"/>
                              </w:rPr>
                              <w:drawing>
                                <wp:inline distT="0" distB="0" distL="114300" distR="114300">
                                  <wp:extent cx="1571625" cy="1949450"/>
                                  <wp:effectExtent l="0" t="0" r="9525" b="12700"/>
                                  <wp:docPr id="1" name="图片 1"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1"/>
                                          <pic:cNvPicPr>
                                            <a:picLocks noChangeAspect="1"/>
                                          </pic:cNvPicPr>
                                        </pic:nvPicPr>
                                        <pic:blipFill>
                                          <a:blip r:embed="rId6"/>
                                          <a:srcRect l="27838" t="21503" r="27858" b="23553"/>
                                          <a:stretch>
                                            <a:fillRect/>
                                          </a:stretch>
                                        </pic:blipFill>
                                        <pic:spPr>
                                          <a:xfrm>
                                            <a:off x="0" y="0"/>
                                            <a:ext cx="1571625" cy="19494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7.05pt;margin-top:4.65pt;height:165.75pt;width:175.9pt;z-index:251659264;mso-width-relative:page;mso-height-relative:page;" fillcolor="#FFFFFF [3201]" filled="t" stroked="t" coordsize="21600,21600" o:gfxdata="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CKDpLu1gAAAAkBAAAPAAAAAAAAAAEAIAAAACIAAABkcnMvZG93bnJldi54bWxQSwECFAAU&#10;AAAACACHTuJAmfXC4GUCAADEBAAADgAAAAAAAAABACAAAAAlAQAAZHJzL2Uyb0RvYy54bWxQSwUG&#10;AAAAAAYABgBZAQAA/AUAAAAA&#10;">
                <v:fill on="t" focussize="0,0"/>
                <v:stroke weight="0.5pt" color="#000000 [3204]" joinstyle="round"/>
                <v:imagedata o:title=""/>
                <o:lock v:ext="edit" aspectratio="f"/>
                <v:textbox>
                  <w:txbxContent>
                    <w:p w14:paraId="6FBE035B">
                      <w:pPr>
                        <w:jc w:val="center"/>
                        <w:rPr>
                          <w:rFonts w:hint="eastAsia" w:eastAsia="微软雅黑"/>
                          <w:lang w:eastAsia="zh-CN"/>
                        </w:rPr>
                      </w:pPr>
                      <w:r>
                        <w:rPr>
                          <w:rFonts w:hint="eastAsia" w:eastAsia="微软雅黑"/>
                          <w:lang w:eastAsia="zh-CN"/>
                        </w:rPr>
                        <w:drawing>
                          <wp:inline distT="0" distB="0" distL="114300" distR="114300">
                            <wp:extent cx="1571625" cy="1949450"/>
                            <wp:effectExtent l="0" t="0" r="9525" b="12700"/>
                            <wp:docPr id="1" name="图片 1"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1"/>
                                    <pic:cNvPicPr>
                                      <a:picLocks noChangeAspect="1"/>
                                    </pic:cNvPicPr>
                                  </pic:nvPicPr>
                                  <pic:blipFill>
                                    <a:blip r:embed="rId6"/>
                                    <a:srcRect l="27838" t="21503" r="27858" b="23553"/>
                                    <a:stretch>
                                      <a:fillRect/>
                                    </a:stretch>
                                  </pic:blipFill>
                                  <pic:spPr>
                                    <a:xfrm>
                                      <a:off x="0" y="0"/>
                                      <a:ext cx="1571625" cy="1949450"/>
                                    </a:xfrm>
                                    <a:prstGeom prst="rect">
                                      <a:avLst/>
                                    </a:prstGeom>
                                  </pic:spPr>
                                </pic:pic>
                              </a:graphicData>
                            </a:graphic>
                          </wp:inline>
                        </w:drawing>
                      </w:r>
                    </w:p>
                  </w:txbxContent>
                </v:textbox>
              </v:shape>
            </w:pict>
          </mc:Fallback>
        </mc:AlternateContent>
      </w:r>
    </w:p>
    <w:p w14:paraId="27EAEAC6">
      <w:pPr>
        <w:rPr>
          <w:rFonts w:hint="eastAsia"/>
          <w:lang w:val="en-US" w:eastAsia="zh-CN"/>
        </w:rPr>
      </w:pPr>
    </w:p>
    <w:p w14:paraId="7C23645C">
      <w:pPr>
        <w:rPr>
          <w:rFonts w:hint="default"/>
          <w:lang w:val="en-US" w:eastAsia="zh-CN"/>
        </w:rPr>
      </w:pPr>
      <w:r>
        <w:rPr>
          <w:rFonts w:hint="eastAsia"/>
          <w:lang w:val="en-US" w:eastAsia="zh-CN"/>
        </w:rPr>
        <w:t>名称：2M误码仪</w:t>
      </w:r>
    </w:p>
    <w:p w14:paraId="54149E44">
      <w:pPr>
        <w:rPr>
          <w:rFonts w:hint="default"/>
          <w:lang w:val="en-US" w:eastAsia="zh-CN"/>
        </w:rPr>
      </w:pPr>
      <w:r>
        <w:rPr>
          <w:rFonts w:hint="eastAsia"/>
          <w:lang w:val="en-US" w:eastAsia="zh-CN"/>
        </w:rPr>
        <w:t>型号：</w:t>
      </w:r>
      <w:r>
        <w:rPr>
          <w:rFonts w:hint="eastAsia"/>
        </w:rPr>
        <w:t>FM-200A</w:t>
      </w:r>
    </w:p>
    <w:p w14:paraId="446BE89C">
      <w:pPr>
        <w:rPr>
          <w:rFonts w:hint="eastAsia"/>
          <w:lang w:val="en-US" w:eastAsia="zh-CN"/>
        </w:rPr>
      </w:pPr>
      <w:r>
        <w:rPr>
          <w:rFonts w:hint="eastAsia"/>
          <w:lang w:val="en-US" w:eastAsia="zh-CN"/>
        </w:rPr>
        <w:t>品牌：鼎讯</w:t>
      </w:r>
    </w:p>
    <w:p w14:paraId="4C180C7E">
      <w:pPr>
        <w:rPr>
          <w:rFonts w:hint="eastAsia"/>
          <w:lang w:val="en-US" w:eastAsia="zh-CN"/>
        </w:rPr>
      </w:pPr>
      <w:r>
        <w:rPr>
          <w:rFonts w:hint="eastAsia"/>
          <w:lang w:val="en-US" w:eastAsia="zh-CN"/>
        </w:rPr>
        <w:t>公司：成都鼎讯信通科技有限公司</w:t>
      </w:r>
    </w:p>
    <w:p w14:paraId="3ADEC39D">
      <w:pPr>
        <w:rPr>
          <w:rFonts w:hint="default"/>
          <w:lang w:val="en-US" w:eastAsia="zh-CN"/>
        </w:rPr>
      </w:pPr>
      <w:r>
        <w:rPr>
          <w:rFonts w:hint="eastAsia"/>
          <w:lang w:val="en-US" w:eastAsia="zh-CN"/>
        </w:rPr>
        <w:t>官网:www.dingxunacnn.com</w:t>
      </w:r>
    </w:p>
    <w:p w14:paraId="5F26B063">
      <w:pPr>
        <w:rPr>
          <w:rFonts w:hint="eastAsia"/>
          <w:lang w:val="en-US" w:eastAsia="zh-CN"/>
        </w:rPr>
      </w:pPr>
    </w:p>
    <w:p w14:paraId="37EA01C2">
      <w:pPr>
        <w:rPr>
          <w:rFonts w:hint="eastAsia"/>
          <w:b/>
          <w:bCs/>
          <w:sz w:val="24"/>
          <w:szCs w:val="24"/>
          <w:lang w:val="en-US" w:eastAsia="zh-CN"/>
        </w:rPr>
      </w:pPr>
      <w:r>
        <w:rPr>
          <w:rFonts w:hint="eastAsia"/>
          <w:b/>
          <w:bCs/>
          <w:sz w:val="24"/>
          <w:szCs w:val="24"/>
          <w:lang w:val="en-US" w:eastAsia="zh-CN"/>
        </w:rPr>
        <w:t>一、产品概述</w:t>
      </w:r>
    </w:p>
    <w:p w14:paraId="7218F65B">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lang w:val="en-US" w:eastAsia="zh-CN"/>
        </w:rPr>
      </w:pPr>
      <w:r>
        <w:rPr>
          <w:rFonts w:hint="eastAsia"/>
          <w:lang w:val="en-US" w:eastAsia="zh-CN"/>
        </w:rPr>
        <w:t>误码测试仪适用于测量通信线路数据通信的误码率和分析线路故障及原因。可方便地完成对</w:t>
      </w:r>
      <w:r>
        <w:rPr>
          <w:rFonts w:hint="default"/>
          <w:lang w:val="en-US" w:eastAsia="zh-CN"/>
        </w:rPr>
        <w:t>2M</w:t>
      </w:r>
      <w:r>
        <w:rPr>
          <w:rFonts w:hint="eastAsia"/>
          <w:lang w:val="en-US" w:eastAsia="zh-CN"/>
        </w:rPr>
        <w:t>系统，</w:t>
      </w:r>
      <w:r>
        <w:rPr>
          <w:rFonts w:hint="default"/>
          <w:lang w:val="en-US" w:eastAsia="zh-CN"/>
        </w:rPr>
        <w:t>N</w:t>
      </w:r>
      <w:r>
        <w:rPr>
          <w:rFonts w:hint="eastAsia"/>
          <w:lang w:val="en-US" w:eastAsia="zh-CN"/>
        </w:rPr>
        <w:t>×</w:t>
      </w:r>
      <w:r>
        <w:rPr>
          <w:rFonts w:hint="default"/>
          <w:lang w:val="en-US" w:eastAsia="zh-CN"/>
        </w:rPr>
        <w:t>64k</w:t>
      </w:r>
      <w:r>
        <w:rPr>
          <w:rFonts w:hint="eastAsia"/>
          <w:lang w:val="en-US" w:eastAsia="zh-CN"/>
        </w:rPr>
        <w:t>信道传输参数测量及日常维护测试。</w:t>
      </w:r>
    </w:p>
    <w:p w14:paraId="614B0BCD">
      <w:pPr>
        <w:ind w:firstLine="420" w:firstLineChars="200"/>
        <w:rPr>
          <w:rFonts w:hint="default"/>
          <w:lang w:val="en-US" w:eastAsia="zh-CN"/>
        </w:rPr>
      </w:pPr>
      <w:r>
        <w:rPr>
          <w:rFonts w:hint="default"/>
          <w:lang w:val="en-US" w:eastAsia="zh-CN"/>
        </w:rPr>
        <w:t>可用于E1/G.703线路的现场维护和分析，以及数据线路（V.35，V.24/RS232，RS449，RS530，X.21)的误码测试。</w:t>
      </w:r>
      <w:r>
        <w:rPr>
          <w:rFonts w:hint="eastAsia"/>
          <w:lang w:val="en-US" w:eastAsia="zh-CN"/>
        </w:rPr>
        <w:t>FM-200A</w:t>
      </w:r>
      <w:r>
        <w:rPr>
          <w:rFonts w:hint="default"/>
          <w:lang w:val="en-US" w:eastAsia="zh-CN"/>
        </w:rPr>
        <w:t>功能全面，操作方便，既可按照G.821，G.826和M.2100等国际标准进行测试，也可根据用户的要求对测试数据进行存储、统计、分析和打印，是数据线路质量测试的理想工具。</w:t>
      </w:r>
    </w:p>
    <w:p w14:paraId="5CC0FF8E">
      <w:pPr>
        <w:rPr>
          <w:rFonts w:hint="default"/>
          <w:lang w:val="en-US" w:eastAsia="zh-CN"/>
        </w:rPr>
      </w:pPr>
    </w:p>
    <w:p w14:paraId="783A3018">
      <w:pPr>
        <w:numPr>
          <w:ilvl w:val="0"/>
          <w:numId w:val="0"/>
        </w:numPr>
        <w:rPr>
          <w:rFonts w:hint="eastAsia"/>
          <w:b/>
          <w:bCs/>
          <w:sz w:val="24"/>
          <w:szCs w:val="24"/>
          <w:lang w:val="en-US" w:eastAsia="zh-CN"/>
        </w:rPr>
      </w:pPr>
      <w:r>
        <w:rPr>
          <w:rFonts w:hint="eastAsia" w:ascii="Arial" w:hAnsi="Arial" w:eastAsia="微软雅黑" w:cs="Times New Roman"/>
          <w:b/>
          <w:bCs/>
          <w:kern w:val="2"/>
          <w:sz w:val="24"/>
          <w:szCs w:val="24"/>
          <w:lang w:val="en-US" w:eastAsia="zh-CN" w:bidi="ar-SA"/>
        </w:rPr>
        <w:t>二、</w:t>
      </w:r>
      <w:r>
        <w:rPr>
          <w:rFonts w:hint="eastAsia"/>
          <w:b/>
          <w:bCs/>
          <w:sz w:val="24"/>
          <w:szCs w:val="24"/>
          <w:lang w:val="en-US" w:eastAsia="zh-CN"/>
        </w:rPr>
        <w:t>产品特点</w:t>
      </w:r>
    </w:p>
    <w:p w14:paraId="669617D7">
      <w:pPr>
        <w:numPr>
          <w:ilvl w:val="0"/>
          <w:numId w:val="0"/>
        </w:numPr>
        <w:rPr>
          <w:rFonts w:hint="eastAsia"/>
          <w:lang w:val="en-US" w:eastAsia="zh-CN"/>
        </w:rPr>
      </w:pPr>
      <w:r>
        <w:rPr>
          <w:rFonts w:hint="eastAsia" w:ascii="Arial" w:hAnsi="Arial" w:eastAsia="微软雅黑" w:cs="Times New Roman"/>
          <w:kern w:val="2"/>
          <w:sz w:val="21"/>
          <w:szCs w:val="24"/>
          <w:lang w:val="en-US" w:eastAsia="zh-CN" w:bidi="ar-SA"/>
        </w:rPr>
        <w:t>1、</w:t>
      </w:r>
      <w:r>
        <w:rPr>
          <w:rFonts w:hint="eastAsia"/>
          <w:lang w:val="en-US" w:eastAsia="zh-CN"/>
        </w:rPr>
        <w:t>全中文菜单，彩色高清晰度宽视角</w:t>
      </w:r>
      <w:r>
        <w:rPr>
          <w:rFonts w:hint="default"/>
          <w:lang w:val="en-US" w:eastAsia="zh-CN"/>
        </w:rPr>
        <w:t>TFT</w:t>
      </w:r>
      <w:r>
        <w:rPr>
          <w:rFonts w:hint="eastAsia"/>
          <w:lang w:val="en-US" w:eastAsia="zh-CN"/>
        </w:rPr>
        <w:t>液晶显示</w:t>
      </w:r>
      <w:bookmarkStart w:id="0" w:name="_GoBack"/>
      <w:bookmarkEnd w:id="0"/>
    </w:p>
    <w:p w14:paraId="7F4BE1CF">
      <w:pPr>
        <w:numPr>
          <w:ilvl w:val="0"/>
          <w:numId w:val="0"/>
        </w:numPr>
        <w:rPr>
          <w:rFonts w:hint="default"/>
          <w:lang w:val="en-US" w:eastAsia="zh-CN"/>
        </w:rPr>
      </w:pPr>
      <w:r>
        <w:rPr>
          <w:rFonts w:hint="default"/>
          <w:lang w:val="en-US" w:eastAsia="zh-CN"/>
        </w:rPr>
        <w:t>2、</w:t>
      </w:r>
      <w:r>
        <w:rPr>
          <w:rFonts w:hint="eastAsia"/>
          <w:lang w:val="en-US" w:eastAsia="zh-CN"/>
        </w:rPr>
        <w:t>可进行多任务工作（可以边测试边翻阅以前的记录）</w:t>
      </w:r>
    </w:p>
    <w:p w14:paraId="4D31E88C">
      <w:pPr>
        <w:numPr>
          <w:ilvl w:val="0"/>
          <w:numId w:val="0"/>
        </w:numPr>
        <w:rPr>
          <w:rFonts w:hint="default"/>
          <w:lang w:val="en-US" w:eastAsia="zh-CN"/>
        </w:rPr>
      </w:pPr>
      <w:r>
        <w:rPr>
          <w:rFonts w:hint="eastAsia"/>
          <w:lang w:val="en-US" w:eastAsia="zh-CN"/>
        </w:rPr>
        <w:t>3</w:t>
      </w:r>
      <w:r>
        <w:rPr>
          <w:rFonts w:hint="default"/>
          <w:lang w:val="en-US" w:eastAsia="zh-CN"/>
        </w:rPr>
        <w:t xml:space="preserve">、 </w:t>
      </w:r>
      <w:r>
        <w:rPr>
          <w:rFonts w:hint="eastAsia"/>
          <w:lang w:val="en-US" w:eastAsia="zh-CN"/>
        </w:rPr>
        <w:t>支持测试设置存储和测试结果存储功能，可进行掉电记忆</w:t>
      </w:r>
      <w:r>
        <w:rPr>
          <w:rFonts w:hint="default"/>
          <w:lang w:val="en-US" w:eastAsia="zh-CN"/>
        </w:rPr>
        <w:t xml:space="preserve"> </w:t>
      </w:r>
    </w:p>
    <w:p w14:paraId="4F791856">
      <w:pPr>
        <w:numPr>
          <w:ilvl w:val="0"/>
          <w:numId w:val="0"/>
        </w:numPr>
        <w:rPr>
          <w:rFonts w:hint="default"/>
          <w:lang w:val="en-US" w:eastAsia="zh-CN"/>
        </w:rPr>
      </w:pPr>
      <w:r>
        <w:rPr>
          <w:rFonts w:hint="eastAsia"/>
          <w:lang w:val="en-US" w:eastAsia="zh-CN"/>
        </w:rPr>
        <w:t>4</w:t>
      </w:r>
      <w:r>
        <w:rPr>
          <w:rFonts w:hint="default"/>
          <w:lang w:val="en-US" w:eastAsia="zh-CN"/>
        </w:rPr>
        <w:t>、</w:t>
      </w:r>
      <w:r>
        <w:rPr>
          <w:rFonts w:hint="eastAsia"/>
          <w:lang w:val="en-US" w:eastAsia="zh-CN"/>
        </w:rPr>
        <w:t>可定时开启、关闭进行测试</w:t>
      </w:r>
    </w:p>
    <w:p w14:paraId="467B6317">
      <w:pPr>
        <w:numPr>
          <w:ilvl w:val="0"/>
          <w:numId w:val="0"/>
        </w:numPr>
        <w:rPr>
          <w:rFonts w:hint="default"/>
          <w:lang w:val="en-US" w:eastAsia="zh-CN"/>
        </w:rPr>
      </w:pPr>
      <w:r>
        <w:rPr>
          <w:rFonts w:hint="eastAsia"/>
          <w:lang w:val="en-US" w:eastAsia="zh-CN"/>
        </w:rPr>
        <w:t>5</w:t>
      </w:r>
      <w:r>
        <w:rPr>
          <w:rFonts w:hint="default"/>
          <w:lang w:val="en-US" w:eastAsia="zh-CN"/>
        </w:rPr>
        <w:t>、</w:t>
      </w:r>
      <w:r>
        <w:rPr>
          <w:rFonts w:hint="eastAsia"/>
          <w:lang w:val="en-US" w:eastAsia="zh-CN"/>
        </w:rPr>
        <w:t>具有告警、误码直方图分析</w:t>
      </w:r>
    </w:p>
    <w:p w14:paraId="21C10A4D">
      <w:pPr>
        <w:numPr>
          <w:ilvl w:val="0"/>
          <w:numId w:val="0"/>
        </w:numPr>
        <w:rPr>
          <w:rFonts w:hint="default"/>
          <w:lang w:val="en-US" w:eastAsia="zh-CN"/>
        </w:rPr>
      </w:pPr>
      <w:r>
        <w:rPr>
          <w:rFonts w:hint="eastAsia"/>
          <w:lang w:val="en-US" w:eastAsia="zh-CN"/>
        </w:rPr>
        <w:t>6</w:t>
      </w:r>
      <w:r>
        <w:rPr>
          <w:rFonts w:hint="default"/>
          <w:lang w:val="en-US" w:eastAsia="zh-CN"/>
        </w:rPr>
        <w:t>、</w:t>
      </w:r>
      <w:r>
        <w:rPr>
          <w:rFonts w:hint="eastAsia"/>
          <w:lang w:val="en-US" w:eastAsia="zh-CN"/>
        </w:rPr>
        <w:t>软件上网升级</w:t>
      </w:r>
    </w:p>
    <w:p w14:paraId="763C0390">
      <w:pPr>
        <w:numPr>
          <w:ilvl w:val="0"/>
          <w:numId w:val="0"/>
        </w:numPr>
        <w:rPr>
          <w:rFonts w:hint="default"/>
          <w:lang w:val="en-US" w:eastAsia="zh-CN"/>
        </w:rPr>
      </w:pPr>
    </w:p>
    <w:p w14:paraId="2D64A25C">
      <w:pPr>
        <w:numPr>
          <w:ilvl w:val="0"/>
          <w:numId w:val="0"/>
        </w:numPr>
        <w:ind w:left="0" w:leftChars="0" w:firstLine="0" w:firstLineChars="0"/>
        <w:rPr>
          <w:rFonts w:hint="eastAsia"/>
          <w:lang w:val="en-US" w:eastAsia="zh-CN"/>
        </w:rPr>
      </w:pPr>
      <w:r>
        <w:rPr>
          <w:rFonts w:hint="eastAsia" w:ascii="Arial" w:hAnsi="Arial" w:eastAsia="微软雅黑" w:cs="Times New Roman"/>
          <w:b/>
          <w:bCs/>
          <w:kern w:val="2"/>
          <w:sz w:val="24"/>
          <w:szCs w:val="24"/>
          <w:lang w:val="en-US" w:eastAsia="zh-CN" w:bidi="ar-SA"/>
        </w:rPr>
        <w:t>三、</w:t>
      </w:r>
      <w:r>
        <w:rPr>
          <w:rFonts w:hint="eastAsia" w:cs="Times New Roman"/>
          <w:b/>
          <w:bCs/>
          <w:kern w:val="2"/>
          <w:sz w:val="24"/>
          <w:szCs w:val="24"/>
          <w:lang w:val="en-US" w:eastAsia="zh-CN" w:bidi="ar-SA"/>
        </w:rPr>
        <w:t>设备</w:t>
      </w:r>
      <w:r>
        <w:rPr>
          <w:rFonts w:hint="eastAsia"/>
          <w:b/>
          <w:bCs/>
          <w:sz w:val="24"/>
          <w:szCs w:val="24"/>
          <w:lang w:val="en-US" w:eastAsia="zh-CN"/>
        </w:rPr>
        <w:t>参数</w:t>
      </w:r>
    </w:p>
    <w:p w14:paraId="1D884211">
      <w:pPr>
        <w:rPr>
          <w:rFonts w:hint="eastAsia"/>
        </w:rPr>
      </w:pPr>
      <w:r>
        <w:rPr>
          <w:rFonts w:hint="eastAsia"/>
          <w:lang w:val="en-US" w:eastAsia="zh-CN"/>
        </w:rPr>
        <w:t>*</w:t>
      </w:r>
      <w:r>
        <w:rPr>
          <w:rFonts w:hint="eastAsia"/>
        </w:rPr>
        <w:t>信号输入速率： 2048kbit/s ± 100ppm（G.703要求±50PPM）</w:t>
      </w:r>
    </w:p>
    <w:p w14:paraId="5BDC9B03">
      <w:pPr>
        <w:rPr>
          <w:rFonts w:hint="eastAsia"/>
        </w:rPr>
      </w:pPr>
      <w:r>
        <w:rPr>
          <w:rFonts w:hint="eastAsia"/>
          <w:lang w:val="en-US" w:eastAsia="zh-CN"/>
        </w:rPr>
        <w:t>*</w:t>
      </w:r>
      <w:r>
        <w:rPr>
          <w:rFonts w:hint="eastAsia"/>
        </w:rPr>
        <w:t>信号编码： HDB3、AMI</w:t>
      </w:r>
    </w:p>
    <w:p w14:paraId="76FB266A">
      <w:pPr>
        <w:rPr>
          <w:rFonts w:hint="eastAsia"/>
        </w:rPr>
      </w:pPr>
      <w:r>
        <w:rPr>
          <w:rFonts w:hint="eastAsia"/>
          <w:lang w:val="en-US" w:eastAsia="zh-CN"/>
        </w:rPr>
        <w:t>*</w:t>
      </w:r>
      <w:r>
        <w:rPr>
          <w:rFonts w:hint="eastAsia"/>
        </w:rPr>
        <w:t>输入抖动容限： 10UI 20Hz～2.4Hz; 0.5UI 18～100Hz</w:t>
      </w:r>
    </w:p>
    <w:p w14:paraId="13CA0003">
      <w:pPr>
        <w:rPr>
          <w:rFonts w:hint="eastAsia"/>
        </w:rPr>
      </w:pPr>
      <w:r>
        <w:rPr>
          <w:rFonts w:hint="eastAsia"/>
          <w:lang w:val="en-US" w:eastAsia="zh-CN"/>
        </w:rPr>
        <w:t>*</w:t>
      </w:r>
      <w:r>
        <w:rPr>
          <w:rFonts w:hint="eastAsia"/>
        </w:rPr>
        <w:t>输入均衡特性：衰减符合频率的平方根规律，在1024kHz 处衰减在0～6dB范围内。</w:t>
      </w:r>
    </w:p>
    <w:p w14:paraId="6307155F">
      <w:pPr>
        <w:rPr>
          <w:rFonts w:hint="eastAsia"/>
        </w:rPr>
      </w:pPr>
      <w:r>
        <w:rPr>
          <w:rFonts w:hint="eastAsia"/>
          <w:lang w:val="en-US" w:eastAsia="zh-CN"/>
        </w:rPr>
        <w:t>*</w:t>
      </w:r>
      <w:r>
        <w:rPr>
          <w:rFonts w:hint="eastAsia"/>
        </w:rPr>
        <w:t>输入阻抗：</w:t>
      </w:r>
    </w:p>
    <w:p w14:paraId="7D92DFC2">
      <w:pPr>
        <w:rPr>
          <w:rFonts w:hint="eastAsia"/>
        </w:rPr>
      </w:pPr>
      <w:r>
        <w:rPr>
          <w:rFonts w:hint="eastAsia"/>
          <w:lang w:val="en-US" w:eastAsia="zh-CN"/>
        </w:rPr>
        <w:t>--</w:t>
      </w:r>
      <w:r>
        <w:rPr>
          <w:rFonts w:hint="eastAsia"/>
        </w:rPr>
        <w:t>非平衡终接：75Ω；平衡终接： 120W 50Hz～3100kHz反射损耗大于18dB</w:t>
      </w:r>
    </w:p>
    <w:p w14:paraId="49FD8026">
      <w:pPr>
        <w:rPr>
          <w:rFonts w:hint="eastAsia"/>
        </w:rPr>
      </w:pPr>
      <w:r>
        <w:rPr>
          <w:rFonts w:hint="eastAsia"/>
          <w:lang w:val="en-US" w:eastAsia="zh-CN"/>
        </w:rPr>
        <w:t>--</w:t>
      </w:r>
      <w:r>
        <w:rPr>
          <w:rFonts w:hint="eastAsia"/>
        </w:rPr>
        <w:t>非平衡桥接：大于750Ω；平衡桥接： 大于1200Ω</w:t>
      </w:r>
    </w:p>
    <w:p w14:paraId="5DDB92EF">
      <w:pPr>
        <w:rPr>
          <w:rFonts w:hint="eastAsia"/>
        </w:rPr>
      </w:pPr>
      <w:r>
        <w:rPr>
          <w:rFonts w:hint="eastAsia"/>
          <w:lang w:val="en-US" w:eastAsia="zh-CN"/>
        </w:rPr>
        <w:t>--</w:t>
      </w:r>
      <w:r>
        <w:rPr>
          <w:rFonts w:hint="eastAsia"/>
        </w:rPr>
        <w:t>非平衡监测：75Ω 26dB增益； 平衡监测： 120Ω 26dB增益</w:t>
      </w:r>
    </w:p>
    <w:p w14:paraId="1505699F">
      <w:pPr>
        <w:rPr>
          <w:rFonts w:hint="eastAsia"/>
        </w:rPr>
      </w:pPr>
      <w:r>
        <w:rPr>
          <w:rFonts w:hint="eastAsia"/>
        </w:rPr>
        <w:t>（50Hz～3100kHz反射损耗大于18dB）</w:t>
      </w:r>
    </w:p>
    <w:p w14:paraId="011875CE">
      <w:pPr>
        <w:rPr>
          <w:rFonts w:hint="eastAsia"/>
        </w:rPr>
      </w:pPr>
      <w:r>
        <w:rPr>
          <w:rFonts w:hint="eastAsia"/>
          <w:lang w:val="en-US" w:eastAsia="zh-CN"/>
        </w:rPr>
        <w:t>*</w:t>
      </w:r>
      <w:r>
        <w:rPr>
          <w:rFonts w:hint="eastAsia"/>
        </w:rPr>
        <w:t>信号结构：</w:t>
      </w:r>
    </w:p>
    <w:p w14:paraId="4928D943">
      <w:pPr>
        <w:rPr>
          <w:rFonts w:hint="eastAsia"/>
        </w:rPr>
      </w:pPr>
      <w:r>
        <w:rPr>
          <w:rFonts w:hint="eastAsia"/>
          <w:lang w:val="en-US" w:eastAsia="zh-CN"/>
        </w:rPr>
        <w:t>--</w:t>
      </w:r>
      <w:r>
        <w:rPr>
          <w:rFonts w:hint="eastAsia"/>
        </w:rPr>
        <w:t>非帧结构</w:t>
      </w:r>
    </w:p>
    <w:p w14:paraId="6DA4AA8B">
      <w:pPr>
        <w:rPr>
          <w:rFonts w:hint="eastAsia"/>
        </w:rPr>
      </w:pPr>
      <w:r>
        <w:rPr>
          <w:rFonts w:hint="eastAsia"/>
          <w:lang w:val="en-US" w:eastAsia="zh-CN"/>
        </w:rPr>
        <w:t>--</w:t>
      </w:r>
      <w:r>
        <w:rPr>
          <w:rFonts w:hint="eastAsia"/>
        </w:rPr>
        <w:t xml:space="preserve">帧结构：PCM30、PCM31、PCM30CRC、PCM31CRC </w:t>
      </w:r>
    </w:p>
    <w:p w14:paraId="18A78BBC">
      <w:pPr>
        <w:rPr>
          <w:rFonts w:hint="eastAsia"/>
        </w:rPr>
      </w:pPr>
      <w:r>
        <w:rPr>
          <w:rFonts w:hint="eastAsia"/>
          <w:lang w:val="en-US" w:eastAsia="zh-CN"/>
        </w:rPr>
        <w:t>*</w:t>
      </w:r>
      <w:r>
        <w:rPr>
          <w:rFonts w:hint="eastAsia"/>
        </w:rPr>
        <w:t>帧结构符合G.704要求</w:t>
      </w:r>
    </w:p>
    <w:p w14:paraId="2DEEE182">
      <w:pPr>
        <w:rPr>
          <w:rFonts w:hint="eastAsia"/>
        </w:rPr>
      </w:pPr>
      <w:r>
        <w:rPr>
          <w:rFonts w:hint="eastAsia"/>
          <w:lang w:val="en-US" w:eastAsia="zh-CN"/>
        </w:rPr>
        <w:t>*</w:t>
      </w:r>
      <w:r>
        <w:rPr>
          <w:rFonts w:hint="eastAsia"/>
        </w:rPr>
        <w:t>测试图案：2E6-1、2E9-1、2E11-1、2E15-1、2E20-1、2E23-1、人工码</w:t>
      </w:r>
    </w:p>
    <w:p w14:paraId="637060DE">
      <w:pPr>
        <w:rPr>
          <w:rFonts w:hint="eastAsia"/>
        </w:rPr>
      </w:pPr>
      <w:r>
        <w:rPr>
          <w:rFonts w:hint="eastAsia"/>
          <w:lang w:val="en-US" w:eastAsia="zh-CN"/>
        </w:rPr>
        <w:t>*</w:t>
      </w:r>
      <w:r>
        <w:rPr>
          <w:rFonts w:hint="eastAsia"/>
        </w:rPr>
        <w:t>输出接口阻抗：</w:t>
      </w:r>
    </w:p>
    <w:p w14:paraId="07BFFC0B">
      <w:pPr>
        <w:rPr>
          <w:rFonts w:hint="eastAsia"/>
        </w:rPr>
      </w:pPr>
      <w:r>
        <w:rPr>
          <w:rFonts w:hint="eastAsia"/>
          <w:lang w:val="en-US" w:eastAsia="zh-CN"/>
        </w:rPr>
        <w:t>*</w:t>
      </w:r>
      <w:r>
        <w:rPr>
          <w:rFonts w:hint="eastAsia"/>
        </w:rPr>
        <w:t>非平衡 75Ω 符合G.703</w:t>
      </w:r>
    </w:p>
    <w:p w14:paraId="61EA71B9">
      <w:pPr>
        <w:rPr>
          <w:rFonts w:hint="eastAsia"/>
        </w:rPr>
      </w:pPr>
      <w:r>
        <w:rPr>
          <w:rFonts w:hint="eastAsia"/>
          <w:lang w:val="en-US" w:eastAsia="zh-CN"/>
        </w:rPr>
        <w:t>*</w:t>
      </w:r>
      <w:r>
        <w:rPr>
          <w:rFonts w:hint="eastAsia"/>
        </w:rPr>
        <w:t>平衡 120Ω 符合G.703</w:t>
      </w:r>
    </w:p>
    <w:p w14:paraId="0891AFA3">
      <w:pPr>
        <w:rPr>
          <w:rFonts w:hint="eastAsia"/>
        </w:rPr>
      </w:pPr>
      <w:r>
        <w:rPr>
          <w:rFonts w:hint="eastAsia"/>
          <w:lang w:val="en-US" w:eastAsia="zh-CN"/>
        </w:rPr>
        <w:t>*</w:t>
      </w:r>
      <w:r>
        <w:rPr>
          <w:rFonts w:hint="eastAsia"/>
        </w:rPr>
        <w:t xml:space="preserve">外时钟输入： </w:t>
      </w:r>
    </w:p>
    <w:p w14:paraId="6C0F8432">
      <w:pPr>
        <w:rPr>
          <w:rFonts w:hint="eastAsia"/>
        </w:rPr>
      </w:pPr>
      <w:r>
        <w:rPr>
          <w:rFonts w:hint="eastAsia"/>
          <w:lang w:val="en-US" w:eastAsia="zh-CN"/>
        </w:rPr>
        <w:t>--</w:t>
      </w:r>
      <w:r>
        <w:rPr>
          <w:rFonts w:hint="eastAsia"/>
        </w:rPr>
        <w:t>信号形式： HDB3、NRZ</w:t>
      </w:r>
    </w:p>
    <w:p w14:paraId="6B97BECB">
      <w:pPr>
        <w:rPr>
          <w:rFonts w:hint="eastAsia"/>
        </w:rPr>
      </w:pPr>
      <w:r>
        <w:rPr>
          <w:rFonts w:hint="eastAsia"/>
          <w:lang w:val="en-US" w:eastAsia="zh-CN"/>
        </w:rPr>
        <w:t>--</w:t>
      </w:r>
      <w:r>
        <w:rPr>
          <w:rFonts w:hint="eastAsia"/>
        </w:rPr>
        <w:t>平衡终接阻抗：120Ω</w:t>
      </w:r>
    </w:p>
    <w:p w14:paraId="179EB310">
      <w:pPr>
        <w:rPr>
          <w:rFonts w:hint="eastAsia"/>
        </w:rPr>
      </w:pPr>
      <w:r>
        <w:rPr>
          <w:rFonts w:hint="eastAsia"/>
          <w:lang w:val="en-US" w:eastAsia="zh-CN"/>
        </w:rPr>
        <w:t>*</w:t>
      </w:r>
      <w:r>
        <w:rPr>
          <w:rFonts w:hint="eastAsia"/>
        </w:rPr>
        <w:t>非平衡终接阻抗：75Ω；</w:t>
      </w:r>
    </w:p>
    <w:p w14:paraId="269575F9">
      <w:pPr>
        <w:rPr>
          <w:rFonts w:hint="eastAsia"/>
        </w:rPr>
      </w:pPr>
      <w:r>
        <w:rPr>
          <w:rFonts w:hint="eastAsia"/>
          <w:lang w:val="en-US" w:eastAsia="zh-CN"/>
        </w:rPr>
        <w:t>*</w:t>
      </w:r>
      <w:r>
        <w:rPr>
          <w:rFonts w:hint="eastAsia"/>
        </w:rPr>
        <w:t>平衡桥接阻抗：大于1200Ω</w:t>
      </w:r>
    </w:p>
    <w:p w14:paraId="6A3996F6">
      <w:pPr>
        <w:rPr>
          <w:rFonts w:hint="eastAsia"/>
        </w:rPr>
      </w:pPr>
      <w:r>
        <w:rPr>
          <w:rFonts w:hint="eastAsia"/>
          <w:lang w:val="en-US" w:eastAsia="zh-CN"/>
        </w:rPr>
        <w:t>*</w:t>
      </w:r>
      <w:r>
        <w:rPr>
          <w:rFonts w:hint="eastAsia"/>
        </w:rPr>
        <w:t>非平衡桥接阻抗：大于750Ω</w:t>
      </w:r>
    </w:p>
    <w:p w14:paraId="0FCAD08F">
      <w:pPr>
        <w:rPr>
          <w:rFonts w:hint="eastAsia"/>
        </w:rPr>
      </w:pPr>
      <w:r>
        <w:rPr>
          <w:rFonts w:hint="eastAsia"/>
          <w:lang w:val="en-US" w:eastAsia="zh-CN"/>
        </w:rPr>
        <w:t>*</w:t>
      </w:r>
      <w:r>
        <w:rPr>
          <w:rFonts w:hint="eastAsia"/>
        </w:rPr>
        <w:t>误码插入：无，单个，比例插入10-1～10-7</w:t>
      </w:r>
    </w:p>
    <w:p w14:paraId="4F431BC8">
      <w:pPr>
        <w:rPr>
          <w:rFonts w:hint="eastAsia"/>
          <w:lang w:val="en-US" w:eastAsia="zh-CN"/>
        </w:rPr>
      </w:pPr>
    </w:p>
    <w:p w14:paraId="227DEF32">
      <w:pPr>
        <w:numPr>
          <w:ilvl w:val="0"/>
          <w:numId w:val="0"/>
        </w:numPr>
        <w:ind w:leftChars="0"/>
        <w:rPr>
          <w:rFonts w:hint="default"/>
          <w:b/>
          <w:bCs/>
          <w:sz w:val="24"/>
          <w:szCs w:val="24"/>
          <w:lang w:val="en-US" w:eastAsia="zh-CN"/>
        </w:rPr>
      </w:pPr>
      <w:r>
        <w:rPr>
          <w:rFonts w:hint="eastAsia"/>
          <w:b/>
          <w:bCs/>
          <w:sz w:val="24"/>
          <w:szCs w:val="24"/>
          <w:lang w:val="en-US" w:eastAsia="zh-CN"/>
        </w:rPr>
        <w:t>四、一般参数</w:t>
      </w:r>
    </w:p>
    <w:p w14:paraId="1B9827FC">
      <w:pPr>
        <w:numPr>
          <w:ilvl w:val="0"/>
          <w:numId w:val="0"/>
        </w:numPr>
        <w:ind w:left="0" w:leftChars="0"/>
        <w:rPr>
          <w:rFonts w:hint="eastAsia"/>
          <w:lang w:eastAsia="zh-CN"/>
        </w:rPr>
      </w:pPr>
      <w:r>
        <w:rPr>
          <w:rFonts w:hint="eastAsia"/>
          <w:lang w:val="en-US" w:eastAsia="zh-CN"/>
        </w:rPr>
        <w:t>*</w:t>
      </w:r>
      <w:r>
        <w:rPr>
          <w:rFonts w:hint="eastAsia"/>
          <w:lang w:eastAsia="zh-CN"/>
        </w:rPr>
        <w:t>电源：输入:AC220V 50Hz；输出:DC 9V 2A</w:t>
      </w:r>
    </w:p>
    <w:p w14:paraId="381272FC">
      <w:pPr>
        <w:numPr>
          <w:ilvl w:val="0"/>
          <w:numId w:val="0"/>
        </w:numPr>
        <w:ind w:left="0" w:leftChars="0"/>
        <w:rPr>
          <w:rFonts w:hint="eastAsia"/>
          <w:lang w:eastAsia="zh-CN"/>
        </w:rPr>
      </w:pPr>
      <w:r>
        <w:rPr>
          <w:rFonts w:hint="eastAsia"/>
          <w:lang w:val="en-US" w:eastAsia="zh-CN"/>
        </w:rPr>
        <w:t>*</w:t>
      </w:r>
      <w:r>
        <w:rPr>
          <w:rFonts w:hint="eastAsia"/>
          <w:lang w:eastAsia="zh-CN"/>
        </w:rPr>
        <w:t>电池：1400mAh 7.2V锂聚合物可充电池</w:t>
      </w:r>
    </w:p>
    <w:p w14:paraId="62C7C11F">
      <w:pPr>
        <w:numPr>
          <w:ilvl w:val="0"/>
          <w:numId w:val="0"/>
        </w:numPr>
        <w:ind w:left="0" w:leftChars="0"/>
        <w:rPr>
          <w:rFonts w:hint="default"/>
          <w:lang w:val="en-US" w:eastAsia="zh-CN"/>
        </w:rPr>
      </w:pPr>
      <w:r>
        <w:rPr>
          <w:rFonts w:hint="eastAsia"/>
          <w:lang w:val="en-US" w:eastAsia="zh-CN"/>
        </w:rPr>
        <w:t>*</w:t>
      </w:r>
      <w:r>
        <w:rPr>
          <w:rFonts w:hint="eastAsia"/>
          <w:lang w:eastAsia="zh-CN"/>
        </w:rPr>
        <w:t>连续工作时间：大于6小时</w:t>
      </w:r>
    </w:p>
    <w:p w14:paraId="53D2156E">
      <w:pPr>
        <w:numPr>
          <w:ilvl w:val="0"/>
          <w:numId w:val="0"/>
        </w:numPr>
        <w:ind w:left="0" w:leftChars="0"/>
        <w:rPr>
          <w:rFonts w:hint="eastAsia"/>
          <w:lang w:eastAsia="zh-CN"/>
        </w:rPr>
      </w:pPr>
      <w:r>
        <w:rPr>
          <w:rFonts w:hint="eastAsia"/>
          <w:lang w:val="en-US" w:eastAsia="zh-CN"/>
        </w:rPr>
        <w:t>*</w:t>
      </w:r>
      <w:r>
        <w:rPr>
          <w:rFonts w:hint="eastAsia"/>
          <w:lang w:eastAsia="zh-CN"/>
        </w:rPr>
        <w:t>充电时间：小于2小时</w:t>
      </w:r>
    </w:p>
    <w:p w14:paraId="5AFA5F0D">
      <w:pPr>
        <w:numPr>
          <w:ilvl w:val="0"/>
          <w:numId w:val="0"/>
        </w:numPr>
        <w:ind w:left="0" w:leftChars="0"/>
        <w:rPr>
          <w:rFonts w:hint="eastAsia"/>
          <w:lang w:eastAsia="zh-CN"/>
        </w:rPr>
      </w:pPr>
      <w:r>
        <w:rPr>
          <w:rFonts w:hint="eastAsia"/>
          <w:lang w:val="en-US" w:eastAsia="zh-CN"/>
        </w:rPr>
        <w:t>*</w:t>
      </w:r>
      <w:r>
        <w:rPr>
          <w:rFonts w:hint="eastAsia"/>
          <w:lang w:eastAsia="zh-CN"/>
        </w:rPr>
        <w:t xml:space="preserve">外形尺寸（长×宽×高）：150×95×42mm     </w:t>
      </w:r>
    </w:p>
    <w:p w14:paraId="6C43DB23">
      <w:pPr>
        <w:numPr>
          <w:ilvl w:val="0"/>
          <w:numId w:val="0"/>
        </w:numPr>
        <w:ind w:left="0" w:leftChars="0"/>
        <w:rPr>
          <w:rFonts w:hint="eastAsia"/>
          <w:lang w:eastAsia="zh-CN"/>
        </w:rPr>
      </w:pPr>
      <w:r>
        <w:rPr>
          <w:rFonts w:hint="eastAsia"/>
          <w:lang w:val="en-US" w:eastAsia="zh-CN"/>
        </w:rPr>
        <w:t>*</w:t>
      </w:r>
      <w:r>
        <w:rPr>
          <w:rFonts w:hint="eastAsia"/>
          <w:lang w:eastAsia="zh-CN"/>
        </w:rPr>
        <w:t>重    量：约255克</w:t>
      </w:r>
    </w:p>
    <w:p w14:paraId="27B90068">
      <w:pPr>
        <w:numPr>
          <w:ilvl w:val="0"/>
          <w:numId w:val="0"/>
        </w:numPr>
        <w:ind w:left="0" w:leftChars="0"/>
        <w:rPr>
          <w:rFonts w:hint="eastAsia"/>
          <w:lang w:eastAsia="zh-CN"/>
        </w:rPr>
      </w:pPr>
      <w:r>
        <w:rPr>
          <w:rFonts w:hint="eastAsia"/>
          <w:lang w:val="en-US" w:eastAsia="zh-CN"/>
        </w:rPr>
        <w:t>*</w:t>
      </w:r>
      <w:r>
        <w:rPr>
          <w:rFonts w:hint="eastAsia"/>
          <w:lang w:eastAsia="zh-CN"/>
        </w:rPr>
        <w:t xml:space="preserve">界面显示：多语种显示设置                    </w:t>
      </w:r>
    </w:p>
    <w:p w14:paraId="41A73B4C">
      <w:pPr>
        <w:numPr>
          <w:ilvl w:val="0"/>
          <w:numId w:val="0"/>
        </w:numPr>
        <w:ind w:left="0" w:leftChars="0"/>
        <w:rPr>
          <w:rFonts w:hint="eastAsia"/>
          <w:lang w:eastAsia="zh-CN"/>
        </w:rPr>
      </w:pPr>
      <w:r>
        <w:rPr>
          <w:rFonts w:hint="eastAsia"/>
          <w:lang w:val="en-US" w:eastAsia="zh-CN"/>
        </w:rPr>
        <w:t>*</w:t>
      </w:r>
      <w:r>
        <w:rPr>
          <w:rFonts w:hint="eastAsia"/>
          <w:lang w:eastAsia="zh-CN"/>
        </w:rPr>
        <w:t>湿    度：5%～90%非凝结</w:t>
      </w:r>
    </w:p>
    <w:p w14:paraId="1D234D96">
      <w:pPr>
        <w:numPr>
          <w:ilvl w:val="0"/>
          <w:numId w:val="0"/>
        </w:numPr>
        <w:ind w:left="0" w:leftChars="0"/>
        <w:rPr>
          <w:rFonts w:hint="eastAsia"/>
          <w:lang w:eastAsia="zh-CN"/>
        </w:rPr>
      </w:pPr>
      <w:r>
        <w:rPr>
          <w:rFonts w:hint="eastAsia"/>
          <w:lang w:val="en-US" w:eastAsia="zh-CN"/>
        </w:rPr>
        <w:t>*</w:t>
      </w:r>
      <w:r>
        <w:rPr>
          <w:rFonts w:hint="eastAsia"/>
          <w:lang w:eastAsia="zh-CN"/>
        </w:rPr>
        <w:t xml:space="preserve">操作温度：0～40℃                          </w:t>
      </w:r>
    </w:p>
    <w:p w14:paraId="4750EF49">
      <w:pPr>
        <w:numPr>
          <w:ilvl w:val="0"/>
          <w:numId w:val="0"/>
        </w:numPr>
        <w:ind w:left="0" w:leftChars="0"/>
        <w:rPr>
          <w:rFonts w:ascii="微软雅黑" w:hAnsi="微软雅黑" w:eastAsia="新宋体"/>
          <w:szCs w:val="15"/>
        </w:rPr>
      </w:pPr>
      <w:r>
        <w:rPr>
          <w:rFonts w:hint="eastAsia"/>
          <w:lang w:val="en-US" w:eastAsia="zh-CN"/>
        </w:rPr>
        <w:t>*</w:t>
      </w:r>
      <w:r>
        <w:rPr>
          <w:rFonts w:hint="eastAsia"/>
          <w:lang w:eastAsia="zh-CN"/>
        </w:rPr>
        <w:t xml:space="preserve">储藏温度：-30～+70℃ </w:t>
      </w:r>
    </w:p>
    <w:p w14:paraId="3C77876F">
      <w:pPr>
        <w:numPr>
          <w:ilvl w:val="0"/>
          <w:numId w:val="0"/>
        </w:numPr>
        <w:ind w:left="0" w:leftChars="0"/>
        <w:rPr>
          <w:rFonts w:hint="default"/>
          <w:lang w:val="en-US" w:eastAsia="zh-CN"/>
        </w:rPr>
      </w:pPr>
    </w:p>
    <w:p w14:paraId="568F8856">
      <w:pPr>
        <w:numPr>
          <w:ilvl w:val="0"/>
          <w:numId w:val="0"/>
        </w:numPr>
        <w:ind w:leftChars="0"/>
        <w:rPr>
          <w:rFonts w:hint="default"/>
          <w:b/>
          <w:bCs/>
          <w:sz w:val="24"/>
          <w:szCs w:val="24"/>
          <w:lang w:val="en-US" w:eastAsia="zh-CN"/>
        </w:rPr>
      </w:pPr>
      <w:r>
        <w:rPr>
          <w:rFonts w:hint="eastAsia"/>
          <w:b/>
          <w:bCs/>
          <w:sz w:val="24"/>
          <w:szCs w:val="24"/>
          <w:lang w:val="en-US" w:eastAsia="zh-CN"/>
        </w:rPr>
        <w:t>五、产品配置</w:t>
      </w:r>
    </w:p>
    <w:p w14:paraId="36C18EDA">
      <w:pPr>
        <w:numPr>
          <w:ilvl w:val="0"/>
          <w:numId w:val="0"/>
        </w:numPr>
        <w:ind w:left="0" w:leftChars="0"/>
        <w:rPr>
          <w:rFonts w:hint="eastAsia"/>
        </w:rPr>
      </w:pPr>
      <w:r>
        <w:rPr>
          <w:rFonts w:hint="eastAsia"/>
          <w:lang w:eastAsia="zh-CN"/>
        </w:rPr>
        <w:t>主机、软件光盘、电源适配器、75Ω电缆线、中文说明书、保修卡、便携包</w:t>
      </w:r>
    </w:p>
    <w:p w14:paraId="649F4412">
      <w:pPr>
        <w:numPr>
          <w:ilvl w:val="0"/>
          <w:numId w:val="0"/>
        </w:numPr>
        <w:rPr>
          <w:rFonts w:hint="default"/>
          <w:b w:val="0"/>
          <w:bCs w:val="0"/>
          <w:color w:val="000000" w:themeColor="text1"/>
          <w:lang w:val="en-US" w:eastAsia="zh-CN"/>
          <w14:textFill>
            <w14:solidFill>
              <w14:schemeClr w14:val="tx1"/>
            </w14:solidFill>
          </w14:textFill>
        </w:rPr>
      </w:pPr>
      <w:r>
        <w:rPr>
          <w:rFonts w:hint="eastAsia"/>
        </w:rPr>
        <w:t>数据线</w:t>
      </w:r>
    </w:p>
    <w:p w14:paraId="141EE238">
      <w:pPr>
        <w:numPr>
          <w:ilvl w:val="0"/>
          <w:numId w:val="0"/>
        </w:numPr>
        <w:rPr>
          <w:rFonts w:hint="eastAsia"/>
          <w:b/>
          <w:bCs/>
          <w:sz w:val="24"/>
          <w:szCs w:val="24"/>
          <w:lang w:val="en-US" w:eastAsia="zh-CN"/>
        </w:rPr>
      </w:pPr>
      <w:r>
        <w:rPr>
          <w:rFonts w:hint="eastAsia" w:cs="Times New Roman"/>
          <w:b/>
          <w:bCs/>
          <w:kern w:val="2"/>
          <w:sz w:val="24"/>
          <w:szCs w:val="24"/>
          <w:lang w:val="en-US" w:eastAsia="zh-CN" w:bidi="ar-SA"/>
        </w:rPr>
        <w:t>六</w:t>
      </w:r>
      <w:r>
        <w:rPr>
          <w:rFonts w:hint="eastAsia" w:ascii="Arial" w:hAnsi="Arial" w:eastAsia="微软雅黑" w:cs="Times New Roman"/>
          <w:b/>
          <w:bCs/>
          <w:kern w:val="2"/>
          <w:sz w:val="24"/>
          <w:szCs w:val="24"/>
          <w:lang w:val="en-US" w:eastAsia="zh-CN" w:bidi="ar-SA"/>
        </w:rPr>
        <w:t>、</w:t>
      </w:r>
      <w:r>
        <w:rPr>
          <w:rFonts w:hint="eastAsia"/>
          <w:b/>
          <w:bCs/>
          <w:sz w:val="24"/>
          <w:szCs w:val="24"/>
          <w:lang w:val="en-US" w:eastAsia="zh-CN"/>
        </w:rPr>
        <w:t>核心应用行业</w:t>
      </w:r>
    </w:p>
    <w:p w14:paraId="656F0359">
      <w:pPr>
        <w:numPr>
          <w:ilvl w:val="0"/>
          <w:numId w:val="0"/>
        </w:numPr>
        <w:rPr>
          <w:rFonts w:hint="eastAsia"/>
          <w:lang w:val="en-US" w:eastAsia="zh-CN"/>
        </w:rPr>
      </w:pPr>
      <w:r>
        <w:rPr>
          <w:rFonts w:hint="eastAsia"/>
          <w:lang w:val="en-US" w:eastAsia="zh-CN"/>
        </w:rPr>
        <w:t>部队、电力、石油、石化、航空、运营商、铁路、高速、能源……</w:t>
      </w:r>
    </w:p>
    <w:p w14:paraId="55C41E06">
      <w:pPr>
        <w:numPr>
          <w:ilvl w:val="0"/>
          <w:numId w:val="0"/>
        </w:numPr>
        <w:rPr>
          <w:rFonts w:hint="eastAsia"/>
          <w:lang w:val="en-US" w:eastAsia="zh-CN"/>
        </w:rPr>
      </w:pPr>
    </w:p>
    <w:p w14:paraId="2E6AB88F">
      <w:pPr>
        <w:numPr>
          <w:ilvl w:val="0"/>
          <w:numId w:val="0"/>
        </w:numPr>
        <w:rPr>
          <w:rFonts w:hint="eastAsia"/>
          <w:b/>
          <w:bCs/>
          <w:sz w:val="24"/>
          <w:szCs w:val="24"/>
          <w:lang w:val="en-US" w:eastAsia="zh-CN"/>
        </w:rPr>
      </w:pPr>
      <w:r>
        <w:rPr>
          <w:rFonts w:hint="eastAsia" w:cs="Times New Roman"/>
          <w:b/>
          <w:bCs/>
          <w:kern w:val="2"/>
          <w:sz w:val="24"/>
          <w:szCs w:val="24"/>
          <w:lang w:val="en-US" w:eastAsia="zh-CN" w:bidi="ar-SA"/>
        </w:rPr>
        <w:t>七</w:t>
      </w:r>
      <w:r>
        <w:rPr>
          <w:rFonts w:hint="eastAsia" w:ascii="Arial" w:hAnsi="Arial" w:eastAsia="微软雅黑" w:cs="Times New Roman"/>
          <w:b/>
          <w:bCs/>
          <w:kern w:val="2"/>
          <w:sz w:val="24"/>
          <w:szCs w:val="24"/>
          <w:lang w:val="en-US" w:eastAsia="zh-CN" w:bidi="ar-SA"/>
        </w:rPr>
        <w:t>、</w:t>
      </w:r>
      <w:r>
        <w:rPr>
          <w:rFonts w:hint="eastAsia"/>
          <w:b/>
          <w:bCs/>
          <w:sz w:val="24"/>
          <w:szCs w:val="24"/>
          <w:lang w:val="en-US" w:eastAsia="zh-CN"/>
        </w:rPr>
        <w:t>售后服务</w:t>
      </w:r>
    </w:p>
    <w:p w14:paraId="1EEABFEE">
      <w:pPr>
        <w:numPr>
          <w:ilvl w:val="0"/>
          <w:numId w:val="0"/>
        </w:numPr>
        <w:rPr>
          <w:rFonts w:hint="default"/>
          <w:lang w:val="en-US" w:eastAsia="zh-CN"/>
        </w:rPr>
      </w:pPr>
      <w:r>
        <w:rPr>
          <w:rFonts w:hint="eastAsia"/>
          <w:lang w:val="en-US" w:eastAsia="zh-CN"/>
        </w:rPr>
        <w:t>*</w:t>
      </w:r>
      <w:r>
        <w:rPr>
          <w:rFonts w:hint="default"/>
          <w:lang w:val="en-US" w:eastAsia="zh-CN"/>
        </w:rPr>
        <w:t xml:space="preserve">全国联保 / 7×24 小时响应 / </w:t>
      </w:r>
      <w:r>
        <w:rPr>
          <w:rFonts w:hint="eastAsia"/>
          <w:lang w:val="en-US" w:eastAsia="zh-CN"/>
        </w:rPr>
        <w:t>主机</w:t>
      </w:r>
      <w:r>
        <w:rPr>
          <w:rFonts w:hint="default"/>
          <w:lang w:val="en-US" w:eastAsia="zh-CN"/>
        </w:rPr>
        <w:t>质保</w:t>
      </w:r>
      <w:r>
        <w:rPr>
          <w:rFonts w:hint="eastAsia"/>
          <w:lang w:val="en-US" w:eastAsia="zh-CN"/>
        </w:rPr>
        <w:t>1</w:t>
      </w:r>
      <w:r>
        <w:rPr>
          <w:rFonts w:hint="default"/>
          <w:lang w:val="en-US" w:eastAsia="zh-CN"/>
        </w:rPr>
        <w:t xml:space="preserve"> 年（</w:t>
      </w:r>
      <w:r>
        <w:rPr>
          <w:rFonts w:hint="eastAsia"/>
          <w:lang w:val="en-US" w:eastAsia="zh-CN"/>
        </w:rPr>
        <w:t>配件</w:t>
      </w:r>
      <w:r>
        <w:rPr>
          <w:rFonts w:hint="default"/>
          <w:lang w:val="en-US" w:eastAsia="zh-CN"/>
        </w:rPr>
        <w:t>部件质保</w:t>
      </w:r>
      <w:r>
        <w:rPr>
          <w:rFonts w:hint="eastAsia"/>
          <w:lang w:val="en-US" w:eastAsia="zh-CN"/>
        </w:rPr>
        <w:t>半</w:t>
      </w:r>
      <w:r>
        <w:rPr>
          <w:rFonts w:hint="default"/>
          <w:lang w:val="en-US" w:eastAsia="zh-CN"/>
        </w:rPr>
        <w:t>年）​</w:t>
      </w:r>
    </w:p>
    <w:p w14:paraId="1335403C">
      <w:pPr>
        <w:numPr>
          <w:ilvl w:val="0"/>
          <w:numId w:val="0"/>
        </w:numPr>
        <w:rPr>
          <w:rFonts w:hint="default"/>
          <w:lang w:val="en-US" w:eastAsia="zh-CN"/>
        </w:rPr>
      </w:pPr>
      <w:r>
        <w:rPr>
          <w:rFonts w:hint="eastAsia"/>
          <w:lang w:val="en-US" w:eastAsia="zh-CN"/>
        </w:rPr>
        <w:t>*</w:t>
      </w:r>
      <w:r>
        <w:rPr>
          <w:rFonts w:hint="default"/>
          <w:lang w:val="en-US" w:eastAsia="zh-CN"/>
        </w:rPr>
        <w:t>报修渠道</w:t>
      </w:r>
      <w:r>
        <w:rPr>
          <w:rFonts w:hint="eastAsia"/>
          <w:lang w:val="en-US" w:eastAsia="zh-CN"/>
        </w:rPr>
        <w:t>：杨工 18108048914</w:t>
      </w:r>
    </w:p>
    <w:sectPr>
      <w:headerReference r:id="rId3" w:type="default"/>
      <w:footerReference r:id="rId4" w:type="default"/>
      <w:pgSz w:w="11906" w:h="16838"/>
      <w:pgMar w:top="1440" w:right="1800" w:bottom="1440" w:left="1800" w:header="851" w:footer="992" w:gutter="0"/>
      <w:cols w:space="0" w:num="1"/>
      <w:rtlGutter w:val="0"/>
      <w:docGrid w:type="lines" w:linePitch="387"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新宋体">
    <w:panose1 w:val="02010609030101010101"/>
    <w:charset w:val="86"/>
    <w:family w:val="modern"/>
    <w:pitch w:val="default"/>
    <w:sig w:usb0="00000203" w:usb1="288F0000" w:usb2="0000000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5CD170">
    <w:pPr>
      <w:pStyle w:val="11"/>
      <w:rPr>
        <w:rFonts w:hint="default"/>
        <w:sz w:val="24"/>
        <w:szCs w:val="24"/>
        <w:lang w:val="en-US" w:eastAsia="zh-CN"/>
      </w:rPr>
    </w:pPr>
    <w:r>
      <w:rPr>
        <w:rFonts w:hint="eastAsia"/>
        <w:lang w:val="en-US" w:eastAsia="zh-CN"/>
      </w:rPr>
      <w:t>官网：</w:t>
    </w:r>
    <w:r>
      <w:rPr>
        <w:rFonts w:hint="eastAsia"/>
        <w:sz w:val="24"/>
        <w:szCs w:val="24"/>
        <w:lang w:val="en-US" w:eastAsia="zh-CN"/>
      </w:rPr>
      <w:fldChar w:fldCharType="begin"/>
    </w:r>
    <w:r>
      <w:rPr>
        <w:rFonts w:hint="eastAsia"/>
        <w:sz w:val="24"/>
        <w:szCs w:val="24"/>
        <w:lang w:val="en-US" w:eastAsia="zh-CN"/>
      </w:rPr>
      <w:instrText xml:space="preserve"> HYPERLINK "http://www.dingxunacnn.com" </w:instrText>
    </w:r>
    <w:r>
      <w:rPr>
        <w:rFonts w:hint="eastAsia"/>
        <w:sz w:val="24"/>
        <w:szCs w:val="24"/>
        <w:lang w:val="en-US" w:eastAsia="zh-CN"/>
      </w:rPr>
      <w:fldChar w:fldCharType="separate"/>
    </w:r>
    <w:r>
      <w:rPr>
        <w:rStyle w:val="16"/>
        <w:rFonts w:hint="eastAsia"/>
        <w:sz w:val="24"/>
        <w:szCs w:val="24"/>
        <w:lang w:val="en-US" w:eastAsia="zh-CN"/>
      </w:rPr>
      <w:t>www.dingxunacnn.com</w:t>
    </w:r>
    <w:r>
      <w:rPr>
        <w:rFonts w:hint="eastAsia"/>
        <w:sz w:val="24"/>
        <w:szCs w:val="24"/>
        <w:lang w:val="en-US" w:eastAsia="zh-CN"/>
      </w:rP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9DDE11">
    <w:pPr>
      <w:pStyle w:val="12"/>
      <w:rPr>
        <w:rFonts w:hint="default" w:eastAsia="微软雅黑"/>
        <w:lang w:val="en-US" w:eastAsia="zh-CN"/>
      </w:rPr>
    </w:pPr>
    <w:r>
      <w:drawing>
        <wp:inline distT="0" distB="0" distL="114300" distR="114300">
          <wp:extent cx="326390" cy="326390"/>
          <wp:effectExtent l="0" t="0" r="16510" b="16510"/>
          <wp:docPr id="3" name="图片 2" descr="91e164542513c935d312ed5de54dd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91e164542513c935d312ed5de54dde4"/>
                  <pic:cNvPicPr>
                    <a:picLocks noChangeAspect="1"/>
                  </pic:cNvPicPr>
                </pic:nvPicPr>
                <pic:blipFill>
                  <a:blip r:embed="rId1"/>
                  <a:stretch>
                    <a:fillRect/>
                  </a:stretch>
                </pic:blipFill>
                <pic:spPr>
                  <a:xfrm>
                    <a:off x="0" y="0"/>
                    <a:ext cx="326390" cy="326390"/>
                  </a:xfrm>
                  <a:prstGeom prst="rect">
                    <a:avLst/>
                  </a:prstGeom>
                </pic:spPr>
              </pic:pic>
            </a:graphicData>
          </a:graphic>
        </wp:inline>
      </w:drawing>
    </w:r>
    <w:r>
      <w:rPr>
        <w:rFonts w:hint="eastAsia"/>
        <w:lang w:val="en-US" w:eastAsia="zh-CN"/>
      </w:rPr>
      <w:t xml:space="preserve">                                               成都鼎讯信通科技有限公司</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attachedTemplate r:id="rId1"/>
  <w:documentProtection w:enforcement="0"/>
  <w:defaultTabStop w:val="420"/>
  <w:drawingGridHorizontalSpacing w:val="210"/>
  <w:drawingGridVerticalSpacing w:val="194"/>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AA24D9F"/>
    <w:rsid w:val="01415CD2"/>
    <w:rsid w:val="07011CC2"/>
    <w:rsid w:val="07644792"/>
    <w:rsid w:val="09284798"/>
    <w:rsid w:val="0F2B6FD9"/>
    <w:rsid w:val="14805E6D"/>
    <w:rsid w:val="183C240D"/>
    <w:rsid w:val="19DE010A"/>
    <w:rsid w:val="1AA24D9F"/>
    <w:rsid w:val="1CAC58FC"/>
    <w:rsid w:val="22DF47CF"/>
    <w:rsid w:val="24AF1021"/>
    <w:rsid w:val="28DA2E89"/>
    <w:rsid w:val="2A4254F9"/>
    <w:rsid w:val="2CDA780B"/>
    <w:rsid w:val="2D1F32F4"/>
    <w:rsid w:val="2EB42885"/>
    <w:rsid w:val="30B579BF"/>
    <w:rsid w:val="323B4D81"/>
    <w:rsid w:val="34B70380"/>
    <w:rsid w:val="370C1079"/>
    <w:rsid w:val="3A74376F"/>
    <w:rsid w:val="3AE174A3"/>
    <w:rsid w:val="415B003E"/>
    <w:rsid w:val="43446334"/>
    <w:rsid w:val="44A84E71"/>
    <w:rsid w:val="459308C3"/>
    <w:rsid w:val="477DCE1E"/>
    <w:rsid w:val="52D43CC9"/>
    <w:rsid w:val="573E1E21"/>
    <w:rsid w:val="58F256A7"/>
    <w:rsid w:val="5A4968FF"/>
    <w:rsid w:val="5B487E91"/>
    <w:rsid w:val="5CF9550F"/>
    <w:rsid w:val="5EFEBDE8"/>
    <w:rsid w:val="607320D3"/>
    <w:rsid w:val="61875360"/>
    <w:rsid w:val="63320977"/>
    <w:rsid w:val="63CF3776"/>
    <w:rsid w:val="6692787F"/>
    <w:rsid w:val="68CA2609"/>
    <w:rsid w:val="68CC1AED"/>
    <w:rsid w:val="69BB0F42"/>
    <w:rsid w:val="6A637494"/>
    <w:rsid w:val="6BCF62E6"/>
    <w:rsid w:val="6C00225C"/>
    <w:rsid w:val="6C062527"/>
    <w:rsid w:val="6CD3A16D"/>
    <w:rsid w:val="6D535020"/>
    <w:rsid w:val="6E5F49A6"/>
    <w:rsid w:val="6EA878F9"/>
    <w:rsid w:val="6FAF771C"/>
    <w:rsid w:val="6FFF37D2"/>
    <w:rsid w:val="70DE2EF1"/>
    <w:rsid w:val="788A482E"/>
    <w:rsid w:val="799A287B"/>
    <w:rsid w:val="7C5F4108"/>
    <w:rsid w:val="7F79C282"/>
    <w:rsid w:val="7F7B6CAE"/>
    <w:rsid w:val="7FBF6DD0"/>
    <w:rsid w:val="7FCD17FE"/>
    <w:rsid w:val="7FD7E9A0"/>
    <w:rsid w:val="7FE9FBB2"/>
    <w:rsid w:val="8FFFA67E"/>
    <w:rsid w:val="A97F623E"/>
    <w:rsid w:val="AFBF8780"/>
    <w:rsid w:val="BEEFCB4B"/>
    <w:rsid w:val="BFE6F841"/>
    <w:rsid w:val="D5DE8897"/>
    <w:rsid w:val="E7FE3684"/>
    <w:rsid w:val="EFFF70E4"/>
    <w:rsid w:val="F7EEC240"/>
    <w:rsid w:val="FBF75102"/>
    <w:rsid w:val="FDDC5620"/>
    <w:rsid w:val="FDEA700A"/>
    <w:rsid w:val="FFBFCE42"/>
  </w:rsids>
  <m:mathPr>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semiHidden="0" w:name="heading 5"/>
    <w:lsdException w:qFormat="1" w:uiPriority="0" w:semiHidden="0" w:name="heading 6"/>
    <w:lsdException w:qFormat="1" w:uiPriority="0" w:semiHidden="0" w:name="heading 7"/>
    <w:lsdException w:qFormat="1" w:uiPriority="0" w:semiHidden="0" w:name="heading 8"/>
    <w:lsdException w:qFormat="1"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Arial" w:hAnsi="Arial" w:eastAsia="微软雅黑" w:cs="Times New Roman"/>
      <w:kern w:val="2"/>
      <w:sz w:val="21"/>
      <w:szCs w:val="24"/>
      <w:lang w:val="en-US" w:eastAsia="zh-CN" w:bidi="ar-SA"/>
    </w:rPr>
  </w:style>
  <w:style w:type="paragraph" w:styleId="2">
    <w:name w:val="heading 1"/>
    <w:basedOn w:val="1"/>
    <w:next w:val="1"/>
    <w:qFormat/>
    <w:uiPriority w:val="0"/>
    <w:pPr>
      <w:keepNext/>
      <w:keepLines/>
      <w:spacing w:before="260" w:beforeLines="0" w:beforeAutospacing="0" w:after="220" w:afterLines="0" w:afterAutospacing="0" w:line="240" w:lineRule="auto"/>
      <w:outlineLvl w:val="0"/>
    </w:pPr>
    <w:rPr>
      <w:rFonts w:ascii="Arial" w:hAnsi="Arial"/>
      <w:b/>
      <w:kern w:val="44"/>
      <w:sz w:val="36"/>
    </w:rPr>
  </w:style>
  <w:style w:type="paragraph" w:styleId="3">
    <w:name w:val="heading 2"/>
    <w:basedOn w:val="1"/>
    <w:next w:val="1"/>
    <w:unhideWhenUsed/>
    <w:qFormat/>
    <w:uiPriority w:val="0"/>
    <w:pPr>
      <w:keepNext/>
      <w:keepLines/>
      <w:spacing w:before="260" w:beforeLines="0" w:beforeAutospacing="0" w:after="200" w:afterLines="0" w:afterAutospacing="0" w:line="240" w:lineRule="auto"/>
      <w:outlineLvl w:val="1"/>
    </w:pPr>
    <w:rPr>
      <w:rFonts w:ascii="Arial" w:hAnsi="Arial"/>
      <w:b/>
      <w:sz w:val="32"/>
    </w:rPr>
  </w:style>
  <w:style w:type="paragraph" w:styleId="4">
    <w:name w:val="heading 3"/>
    <w:basedOn w:val="1"/>
    <w:next w:val="1"/>
    <w:unhideWhenUsed/>
    <w:qFormat/>
    <w:uiPriority w:val="0"/>
    <w:pPr>
      <w:keepNext/>
      <w:keepLines/>
      <w:spacing w:before="260" w:beforeLines="0" w:beforeAutospacing="0" w:after="180" w:afterLines="0" w:afterAutospacing="0" w:line="240" w:lineRule="auto"/>
      <w:outlineLvl w:val="2"/>
    </w:pPr>
    <w:rPr>
      <w:rFonts w:ascii="Arial" w:hAnsi="Arial"/>
      <w:b/>
      <w:sz w:val="30"/>
    </w:rPr>
  </w:style>
  <w:style w:type="paragraph" w:styleId="5">
    <w:name w:val="heading 4"/>
    <w:basedOn w:val="1"/>
    <w:next w:val="1"/>
    <w:unhideWhenUsed/>
    <w:qFormat/>
    <w:uiPriority w:val="0"/>
    <w:pPr>
      <w:keepNext/>
      <w:keepLines/>
      <w:spacing w:before="240" w:beforeLines="0" w:beforeAutospacing="0" w:after="160" w:afterLines="0" w:afterAutospacing="0" w:line="240" w:lineRule="auto"/>
      <w:outlineLvl w:val="3"/>
    </w:pPr>
    <w:rPr>
      <w:rFonts w:ascii="Arial" w:hAnsi="Arial"/>
      <w:b/>
      <w:sz w:val="28"/>
    </w:rPr>
  </w:style>
  <w:style w:type="paragraph" w:styleId="6">
    <w:name w:val="heading 5"/>
    <w:basedOn w:val="1"/>
    <w:next w:val="1"/>
    <w:unhideWhenUsed/>
    <w:qFormat/>
    <w:uiPriority w:val="0"/>
    <w:pPr>
      <w:keepNext/>
      <w:keepLines/>
      <w:spacing w:before="240" w:beforeLines="0" w:beforeAutospacing="0" w:after="160" w:afterLines="0" w:afterAutospacing="0" w:line="240" w:lineRule="auto"/>
      <w:outlineLvl w:val="4"/>
    </w:pPr>
    <w:rPr>
      <w:rFonts w:ascii="Arial" w:hAnsi="Arial"/>
      <w:b/>
      <w:sz w:val="28"/>
    </w:rPr>
  </w:style>
  <w:style w:type="paragraph" w:styleId="7">
    <w:name w:val="heading 6"/>
    <w:basedOn w:val="1"/>
    <w:next w:val="1"/>
    <w:unhideWhenUsed/>
    <w:qFormat/>
    <w:uiPriority w:val="0"/>
    <w:pPr>
      <w:keepNext/>
      <w:keepLines/>
      <w:spacing w:before="240" w:beforeLines="0" w:beforeAutospacing="0" w:after="120" w:afterLines="0" w:afterAutospacing="0" w:line="240" w:lineRule="auto"/>
      <w:outlineLvl w:val="5"/>
    </w:pPr>
    <w:rPr>
      <w:rFonts w:ascii="Arial" w:hAnsi="Arial"/>
      <w:b/>
      <w:sz w:val="24"/>
    </w:rPr>
  </w:style>
  <w:style w:type="paragraph" w:styleId="8">
    <w:name w:val="heading 7"/>
    <w:basedOn w:val="1"/>
    <w:next w:val="1"/>
    <w:unhideWhenUsed/>
    <w:qFormat/>
    <w:uiPriority w:val="0"/>
    <w:pPr>
      <w:keepNext/>
      <w:keepLines/>
      <w:spacing w:before="240" w:beforeLines="0" w:beforeAutospacing="0" w:after="120" w:afterLines="0" w:afterAutospacing="0" w:line="240" w:lineRule="auto"/>
      <w:outlineLvl w:val="6"/>
    </w:pPr>
    <w:rPr>
      <w:rFonts w:ascii="Arial" w:hAnsi="Arial"/>
      <w:b/>
      <w:sz w:val="24"/>
    </w:rPr>
  </w:style>
  <w:style w:type="paragraph" w:styleId="9">
    <w:name w:val="heading 8"/>
    <w:basedOn w:val="1"/>
    <w:next w:val="1"/>
    <w:unhideWhenUsed/>
    <w:qFormat/>
    <w:uiPriority w:val="0"/>
    <w:pPr>
      <w:keepNext/>
      <w:keepLines/>
      <w:spacing w:before="180" w:beforeLines="0" w:beforeAutospacing="0" w:after="64" w:afterLines="0" w:afterAutospacing="0" w:line="240" w:lineRule="auto"/>
      <w:outlineLvl w:val="7"/>
    </w:pPr>
    <w:rPr>
      <w:rFonts w:ascii="Arial" w:hAnsi="Arial"/>
      <w:sz w:val="24"/>
    </w:rPr>
  </w:style>
  <w:style w:type="paragraph" w:styleId="10">
    <w:name w:val="heading 9"/>
    <w:basedOn w:val="1"/>
    <w:next w:val="1"/>
    <w:unhideWhenUsed/>
    <w:qFormat/>
    <w:uiPriority w:val="0"/>
    <w:pPr>
      <w:keepNext/>
      <w:keepLines/>
      <w:spacing w:before="180" w:beforeLines="0" w:beforeAutospacing="0" w:after="64" w:afterLines="0" w:afterAutospacing="0" w:line="240" w:lineRule="auto"/>
      <w:outlineLvl w:val="8"/>
    </w:pPr>
    <w:rPr>
      <w:rFonts w:ascii="Arial" w:hAnsi="Arial"/>
    </w:rPr>
  </w:style>
  <w:style w:type="character" w:default="1" w:styleId="15">
    <w:name w:val="Default Paragraph Font"/>
    <w:qFormat/>
    <w:uiPriority w:val="0"/>
    <w:rPr>
      <w:rFonts w:eastAsia="微软雅黑" w:asciiTheme="minorAscii" w:hAnsiTheme="minorAscii"/>
    </w:rPr>
  </w:style>
  <w:style w:type="table" w:default="1" w:styleId="13">
    <w:name w:val="Normal Table"/>
    <w:semiHidden/>
    <w:qFormat/>
    <w:uiPriority w:val="0"/>
    <w:tblPr>
      <w:tblCellMar>
        <w:top w:w="0" w:type="dxa"/>
        <w:left w:w="108" w:type="dxa"/>
        <w:bottom w:w="0" w:type="dxa"/>
        <w:right w:w="108" w:type="dxa"/>
      </w:tblCellMar>
    </w:tblPr>
  </w:style>
  <w:style w:type="paragraph" w:styleId="11">
    <w:name w:val="footer"/>
    <w:basedOn w:val="1"/>
    <w:qFormat/>
    <w:uiPriority w:val="0"/>
    <w:pPr>
      <w:tabs>
        <w:tab w:val="center" w:pos="4153"/>
        <w:tab w:val="right" w:pos="8306"/>
      </w:tabs>
      <w:snapToGrid w:val="0"/>
      <w:jc w:val="left"/>
    </w:pPr>
    <w:rPr>
      <w:sz w:val="18"/>
    </w:rPr>
  </w:style>
  <w:style w:type="paragraph" w:styleId="12">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styleId="14">
    <w:name w:val="Table Grid"/>
    <w:basedOn w:val="13"/>
    <w:qFormat/>
    <w:uiPriority w:val="0"/>
    <w:pPr>
      <w:widowControl w:val="0"/>
      <w:jc w:val="both"/>
    </w:pPr>
    <w:rPr>
      <w:rFonts w:eastAsia="宋体"/>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6">
    <w:name w:val="Hyperlink"/>
    <w:basedOn w:val="15"/>
    <w:qFormat/>
    <w:uiPriority w:val="0"/>
    <w:rPr>
      <w:color w:val="0000FF"/>
      <w:u w:val="single"/>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1.xml"/><Relationship Id="rId6" Type="http://schemas.openxmlformats.org/officeDocument/2006/relationships/image" Target="media/image2.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ata\weboffice\C:\data\weboffice\C:\data\weboffice\C:\data\weboffice\C:\data\weboffice\C:\data\weboffice\C:\Users\June\Library\Containers\com.kingsoft.wpsoffice.mac\Data\C:\data\weboffice\C:\home\ranpeng\C:\Users\53YFKM2\AppData\Roaming\Kingsoft\wps\addons\pool\win-i386\knewfileres_1.0.0.3\wps\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3</Pages>
  <Words>903</Words>
  <Characters>1243</Characters>
  <Lines>0</Lines>
  <Paragraphs>0</Paragraphs>
  <TotalTime>0</TotalTime>
  <ScaleCrop>false</ScaleCrop>
  <LinksUpToDate>false</LinksUpToDate>
  <CharactersWithSpaces>1341</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2018-05-27T17:24:00Z</dcterms:created>
  <dc:creator>A</dc:creator>
  <cp:lastModifiedBy>shy yang</cp:lastModifiedBy>
  <dcterms:modified xsi:type="dcterms:W3CDTF">2025-12-15T05:48:09Z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woTemplateTypoMode" linkTarget="0">
    <vt:lpwstr/>
  </property>
  <property fmtid="{D5CDD505-2E9C-101B-9397-08002B2CF9AE}" pid="4" name="woTemplate" linkTarget="0">
    <vt:i4>0</vt:i4>
  </property>
  <property fmtid="{D5CDD505-2E9C-101B-9397-08002B2CF9AE}" pid="5" name="KSOTemplateDocerSaveRecord">
    <vt:lpwstr>eyJoZGlkIjoiNmIzZTIxZmUyOWI0N2IyZWRkMzY3MDU1MGU4NTk3NmMiLCJ1c2VySWQiOiIzNTYxMTIzNjIifQ==</vt:lpwstr>
  </property>
  <property fmtid="{D5CDD505-2E9C-101B-9397-08002B2CF9AE}" pid="6" name="ICV">
    <vt:lpwstr>80FEC70A2C7740D6AA9EE6C2D0EFA103_12</vt:lpwstr>
  </property>
</Properties>
</file>