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02E1C48">
      <w:pPr>
        <w:jc w:val="center"/>
        <w:rPr>
          <w:rFonts w:hint="default"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t>鼎讯 光时域反射仪（OTDR）GO-35PRO</w:t>
      </w:r>
    </w:p>
    <w:p w14:paraId="15B557CF">
      <w:pPr>
        <w:rPr>
          <w:sz w:val="21"/>
        </w:rPr>
      </w:pPr>
    </w:p>
    <w:p w14:paraId="27EAEAC6">
      <w:pPr>
        <w:rPr>
          <w:rFonts w:hint="eastAsia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2450465</wp:posOffset>
                </wp:positionH>
                <wp:positionV relativeFrom="paragraph">
                  <wp:posOffset>98425</wp:posOffset>
                </wp:positionV>
                <wp:extent cx="2233930" cy="1637665"/>
                <wp:effectExtent l="4445" t="4445" r="9525" b="15240"/>
                <wp:wrapNone/>
                <wp:docPr id="6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620135" y="1231265"/>
                          <a:ext cx="2233930" cy="16376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BE035B">
                            <w:pPr>
                              <w:rPr>
                                <w:rFonts w:hint="eastAsia" w:eastAsia="微软雅黑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  </w:t>
                            </w:r>
                            <w:r>
                              <w:rPr>
                                <w:rFonts w:hint="eastAsia" w:eastAsia="微软雅黑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672590" cy="1672590"/>
                                  <wp:effectExtent l="0" t="0" r="3810" b="3810"/>
                                  <wp:docPr id="2" name="图片 2" descr="a52f872c07dd909dcc9a0fd2a719db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图片 2" descr="a52f872c07dd909dcc9a0fd2a719db28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72590" cy="16725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2.95pt;margin-top:7.75pt;height:128.95pt;width:175.9pt;z-index:251659264;mso-width-relative:page;mso-height-relative:page;" fillcolor="#FFFFFF [3201]" filled="t" stroked="t" coordsize="21600,21600" o:gfxdata="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6FBE035B">
                      <w:pPr>
                        <w:rPr>
                          <w:rFonts w:hint="eastAsia" w:eastAsia="微软雅黑"/>
                          <w:lang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 xml:space="preserve">   </w:t>
                      </w:r>
                      <w:r>
                        <w:rPr>
                          <w:rFonts w:hint="eastAsia" w:eastAsia="微软雅黑"/>
                          <w:lang w:eastAsia="zh-CN"/>
                        </w:rPr>
                        <w:drawing>
                          <wp:inline distT="0" distB="0" distL="114300" distR="114300">
                            <wp:extent cx="1672590" cy="1672590"/>
                            <wp:effectExtent l="0" t="0" r="3810" b="3810"/>
                            <wp:docPr id="2" name="图片 2" descr="a52f872c07dd909dcc9a0fd2a719db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图片 2" descr="a52f872c07dd909dcc9a0fd2a719db28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72590" cy="16725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C23645C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名称：光时域反射仪（OTDR）</w:t>
      </w:r>
    </w:p>
    <w:p w14:paraId="54149E44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型号：GO-35PRO</w:t>
      </w:r>
    </w:p>
    <w:p w14:paraId="446BE89C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品牌：鼎讯</w:t>
      </w:r>
    </w:p>
    <w:p w14:paraId="4C180C7E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公司：成都鼎讯信通科技有限公司</w:t>
      </w:r>
    </w:p>
    <w:p w14:paraId="3ADEC39D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官网:www.dingxunacnn.com</w:t>
      </w:r>
    </w:p>
    <w:p w14:paraId="5F26B063">
      <w:pPr>
        <w:rPr>
          <w:rFonts w:hint="eastAsia"/>
          <w:lang w:val="en-US" w:eastAsia="zh-CN"/>
        </w:rPr>
      </w:pPr>
    </w:p>
    <w:p w14:paraId="37EA01C2">
      <w:pPr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一、产品概述</w:t>
      </w:r>
    </w:p>
    <w:p w14:paraId="0A199BA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156" w:afterLines="50" w:line="240" w:lineRule="auto"/>
        <w:ind w:left="0" w:leftChars="0" w:right="0" w:rightChars="0" w:firstLine="420" w:firstLineChars="200"/>
        <w:jc w:val="both"/>
        <w:textAlignment w:val="auto"/>
        <w:outlineLvl w:val="9"/>
        <w:rPr>
          <w:rFonts w:hint="eastAsia" w:ascii="Arial" w:hAnsi="Arial" w:cs="Arial"/>
          <w:b w:val="0"/>
          <w:bCs w:val="0"/>
          <w:color w:val="auto"/>
          <w:lang w:val="en-US" w:eastAsia="zh-CN"/>
        </w:rPr>
      </w:pPr>
      <w:r>
        <w:rPr>
          <w:rFonts w:hint="default" w:ascii="Arial" w:hAnsi="Arial" w:cs="Arial"/>
          <w:b w:val="0"/>
          <w:bCs w:val="0"/>
          <w:color w:val="auto"/>
          <w:lang w:val="en-US" w:eastAsia="zh-CN"/>
        </w:rPr>
        <w:t>随着城市及农村通信网络</w:t>
      </w:r>
      <w:r>
        <w:rPr>
          <w:rFonts w:hint="eastAsia" w:ascii="Arial" w:hAnsi="Arial" w:cs="Arial"/>
          <w:b w:val="0"/>
          <w:bCs w:val="0"/>
          <w:color w:val="auto"/>
          <w:lang w:val="en-US" w:eastAsia="zh-CN"/>
        </w:rPr>
        <w:t>的</w:t>
      </w:r>
      <w:r>
        <w:rPr>
          <w:rFonts w:hint="default" w:ascii="Arial" w:hAnsi="Arial" w:cs="Arial"/>
          <w:b w:val="0"/>
          <w:bCs w:val="0"/>
          <w:color w:val="auto"/>
          <w:lang w:val="en-US" w:eastAsia="zh-CN"/>
        </w:rPr>
        <w:t>日益光纤化，对于光纤网络的测试由过去的长距化、集中化渐渐演变为如今的短距化和分散化。</w:t>
      </w:r>
      <w:r>
        <w:rPr>
          <w:rFonts w:hint="eastAsia" w:ascii="Arial" w:hAnsi="Arial" w:cs="Arial"/>
          <w:b w:val="0"/>
          <w:bCs w:val="0"/>
          <w:color w:val="auto"/>
          <w:lang w:val="en-US" w:eastAsia="zh-CN"/>
        </w:rPr>
        <w:t>由此带来的可能是用户的成本投入增加，以及大量新增施工运维人员对于仪表的使用要求上手更快更简便等。针对这些问题，</w:t>
      </w:r>
      <w:r>
        <w:rPr>
          <w:rFonts w:hint="default" w:ascii="Arial" w:hAnsi="Arial" w:cs="Arial"/>
          <w:b w:val="0"/>
          <w:bCs w:val="0"/>
          <w:color w:val="auto"/>
          <w:lang w:val="en-US" w:eastAsia="zh-CN"/>
        </w:rPr>
        <w:t>光维通信推出</w:t>
      </w:r>
      <w:r>
        <w:rPr>
          <w:rFonts w:hint="eastAsia" w:ascii="Arial" w:hAnsi="Arial" w:cs="Arial"/>
          <w:b w:val="0"/>
          <w:bCs w:val="0"/>
          <w:color w:val="auto"/>
          <w:lang w:val="en-US" w:eastAsia="zh-CN"/>
        </w:rPr>
        <w:t>了</w:t>
      </w:r>
      <w:r>
        <w:rPr>
          <w:rFonts w:hint="default" w:ascii="Arial" w:hAnsi="Arial" w:cs="Arial"/>
          <w:b w:val="0"/>
          <w:bCs w:val="0"/>
          <w:color w:val="auto"/>
          <w:lang w:val="en-US" w:eastAsia="zh-CN"/>
        </w:rPr>
        <w:t>新一代智能化</w:t>
      </w:r>
      <w:r>
        <w:rPr>
          <w:rFonts w:hint="eastAsia" w:ascii="Arial" w:hAnsi="Arial" w:cs="Arial"/>
          <w:b w:val="0"/>
          <w:bCs w:val="0"/>
          <w:color w:val="auto"/>
          <w:lang w:val="en-US" w:eastAsia="zh-CN"/>
        </w:rPr>
        <w:t xml:space="preserve"> </w:t>
      </w:r>
      <w:r>
        <w:rPr>
          <w:rFonts w:hint="eastAsia" w:ascii="Arial" w:hAnsi="Arial"/>
          <w:color w:val="000000"/>
          <w:lang w:val="en-US" w:eastAsia="zh-CN"/>
        </w:rPr>
        <w:t>GO</w:t>
      </w:r>
      <w:r>
        <w:rPr>
          <w:rFonts w:hint="default" w:ascii="Arial" w:hAnsi="Arial" w:cs="Arial"/>
          <w:b w:val="0"/>
          <w:bCs w:val="0"/>
          <w:color w:val="auto"/>
          <w:lang w:val="en-US" w:eastAsia="zh-CN"/>
        </w:rPr>
        <w:t>系列</w:t>
      </w:r>
      <w:r>
        <w:rPr>
          <w:rFonts w:hint="eastAsia" w:ascii="Arial" w:hAnsi="Arial" w:cs="Arial"/>
          <w:b w:val="0"/>
          <w:bCs w:val="0"/>
          <w:color w:val="auto"/>
          <w:lang w:val="en-US" w:eastAsia="zh-CN"/>
        </w:rPr>
        <w:t>光时域反射仪。</w:t>
      </w:r>
    </w:p>
    <w:p w14:paraId="7758DFD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156" w:afterLines="50" w:line="240" w:lineRule="auto"/>
        <w:ind w:left="0" w:leftChars="0" w:right="0" w:rightChars="0" w:firstLine="420" w:firstLineChars="200"/>
        <w:jc w:val="both"/>
        <w:textAlignment w:val="auto"/>
        <w:outlineLvl w:val="9"/>
        <w:rPr>
          <w:rFonts w:hint="eastAsia" w:ascii="Arial" w:hAnsi="Arial" w:cs="Arial"/>
          <w:b w:val="0"/>
          <w:bCs w:val="0"/>
          <w:color w:val="auto"/>
          <w:lang w:val="en-US" w:eastAsia="zh-CN"/>
        </w:rPr>
      </w:pPr>
      <w:r>
        <w:rPr>
          <w:rFonts w:hint="eastAsia" w:ascii="Arial" w:hAnsi="Arial"/>
          <w:color w:val="000000"/>
          <w:lang w:val="en-US" w:eastAsia="zh-CN"/>
        </w:rPr>
        <w:t>GO系列光时域反射仪采用了全新的设计理念与外观，结构更加紧凑，并且涵盖了从骨干网、城域网至FTTx接入网测试在内的多种动态范围和波长组合，操作简单易学。</w:t>
      </w:r>
      <w:r>
        <w:rPr>
          <w:rFonts w:hint="eastAsia" w:ascii="Arial" w:hAnsi="Arial" w:cs="Arial"/>
          <w:b w:val="0"/>
          <w:bCs w:val="0"/>
          <w:color w:val="auto"/>
          <w:lang w:val="en-US" w:eastAsia="zh-CN"/>
        </w:rPr>
        <w:t>在当前的光纤网络架构下，它可以很好地帮助用户进行成本控制，并且不以降低测试性能为代价，满足用户的不同测试需求。</w:t>
      </w:r>
    </w:p>
    <w:p w14:paraId="53AD577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156" w:afterLines="50" w:line="240" w:lineRule="auto"/>
        <w:ind w:left="0" w:leftChars="0" w:right="0" w:rightChars="0" w:firstLine="420" w:firstLineChars="200"/>
        <w:jc w:val="both"/>
        <w:textAlignment w:val="auto"/>
        <w:outlineLvl w:val="9"/>
        <w:rPr>
          <w:rFonts w:hint="eastAsia" w:ascii="Arial" w:hAnsi="Arial"/>
          <w:color w:val="000000"/>
          <w:lang w:val="en-US" w:eastAsia="zh-CN"/>
        </w:rPr>
      </w:pPr>
      <w:r>
        <w:rPr>
          <w:rFonts w:hint="eastAsia" w:ascii="Arial" w:hAnsi="Arial"/>
          <w:color w:val="000000"/>
          <w:lang w:val="en-US" w:eastAsia="zh-CN"/>
        </w:rPr>
        <w:t>无论您是在光纤网络构建与安装阶段进行链路鉴定，还是要执行快速高效的维护与故障排查测试，相信 GO系列光时域反射仪都会成为您的得力助手。</w:t>
      </w:r>
    </w:p>
    <w:p w14:paraId="1A92159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156" w:afterLines="50" w:line="240" w:lineRule="auto"/>
        <w:ind w:left="0" w:leftChars="0" w:right="0" w:rightChars="0" w:firstLine="420" w:firstLineChars="200"/>
        <w:jc w:val="both"/>
        <w:textAlignment w:val="auto"/>
        <w:outlineLvl w:val="9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GO系列光时域反射仪主要用于测量光纤光缆的长度、损耗和接续质量参数，广泛用于光纤通信系统的工程施工、线路维护测试、紧急抢修以及光纤光缆的研制和生产测量等领域 ，主要应用在城市干线、骨干网和城域网等场合。</w:t>
      </w:r>
    </w:p>
    <w:p w14:paraId="78E1CF09">
      <w:pPr>
        <w:rPr>
          <w:rFonts w:hint="default"/>
          <w:lang w:val="en-US" w:eastAsia="zh-CN"/>
        </w:rPr>
      </w:pPr>
    </w:p>
    <w:p w14:paraId="783A3018">
      <w:pPr>
        <w:numPr>
          <w:ilvl w:val="0"/>
          <w:numId w:val="0"/>
        </w:numPr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 w:ascii="Arial" w:hAnsi="Arial" w:eastAsia="微软雅黑" w:cs="Times New Roman"/>
          <w:b/>
          <w:bCs/>
          <w:kern w:val="2"/>
          <w:sz w:val="24"/>
          <w:szCs w:val="24"/>
          <w:lang w:val="en-US" w:eastAsia="zh-CN" w:bidi="ar-SA"/>
        </w:rPr>
        <w:t>二、</w:t>
      </w:r>
      <w:r>
        <w:rPr>
          <w:rFonts w:hint="eastAsia"/>
          <w:b/>
          <w:bCs/>
          <w:sz w:val="24"/>
          <w:szCs w:val="24"/>
          <w:lang w:val="en-US" w:eastAsia="zh-CN"/>
        </w:rPr>
        <w:t>产品特点</w:t>
      </w:r>
    </w:p>
    <w:p w14:paraId="05D7C26D">
      <w:pPr>
        <w:numPr>
          <w:ilvl w:val="0"/>
          <w:numId w:val="0"/>
        </w:numPr>
        <w:rPr>
          <w:rFonts w:hint="eastAsia" w:cs="Times New Roman"/>
          <w:kern w:val="2"/>
          <w:sz w:val="21"/>
          <w:szCs w:val="24"/>
          <w:lang w:val="en-US" w:eastAsia="zh-CN" w:bidi="ar-SA"/>
        </w:rPr>
      </w:pPr>
      <w:r>
        <w:rPr>
          <w:rFonts w:hint="eastAsia" w:cs="Times New Roman"/>
          <w:kern w:val="2"/>
          <w:sz w:val="21"/>
          <w:szCs w:val="24"/>
          <w:lang w:val="en-US" w:eastAsia="zh-CN" w:bidi="ar-SA"/>
        </w:rPr>
        <w:t>*多种动态范围及波长组合可供选择</w:t>
      </w:r>
    </w:p>
    <w:p w14:paraId="0993BD8E">
      <w:pPr>
        <w:numPr>
          <w:ilvl w:val="0"/>
          <w:numId w:val="0"/>
        </w:numPr>
        <w:rPr>
          <w:rFonts w:hint="eastAsia" w:cs="Times New Roman"/>
          <w:kern w:val="2"/>
          <w:sz w:val="21"/>
          <w:szCs w:val="24"/>
          <w:lang w:val="en-US" w:eastAsia="zh-CN" w:bidi="ar-SA"/>
        </w:rPr>
      </w:pPr>
      <w:r>
        <w:rPr>
          <w:rFonts w:hint="eastAsia" w:cs="Times New Roman"/>
          <w:kern w:val="2"/>
          <w:sz w:val="21"/>
          <w:szCs w:val="24"/>
          <w:lang w:val="en-US" w:eastAsia="zh-CN" w:bidi="ar-SA"/>
        </w:rPr>
        <w:t>*可选1625nm测试波长，带滤波器，可进行FTTH/PON光网络的在线测试</w:t>
      </w:r>
    </w:p>
    <w:p w14:paraId="1D95513C">
      <w:pPr>
        <w:numPr>
          <w:ilvl w:val="0"/>
          <w:numId w:val="0"/>
        </w:numPr>
        <w:rPr>
          <w:rFonts w:hint="eastAsia" w:cs="Times New Roman"/>
          <w:kern w:val="2"/>
          <w:sz w:val="21"/>
          <w:szCs w:val="24"/>
          <w:lang w:val="en-US" w:eastAsia="zh-CN" w:bidi="ar-SA"/>
        </w:rPr>
      </w:pPr>
      <w:r>
        <w:rPr>
          <w:rFonts w:hint="eastAsia" w:cs="Times New Roman"/>
          <w:kern w:val="2"/>
          <w:sz w:val="21"/>
          <w:szCs w:val="24"/>
          <w:lang w:val="en-US" w:eastAsia="zh-CN" w:bidi="ar-SA"/>
        </w:rPr>
        <w:t>*多种测量模式，操作极其简单，一键式可以完成测量</w:t>
      </w:r>
    </w:p>
    <w:p w14:paraId="385CC951">
      <w:pPr>
        <w:numPr>
          <w:ilvl w:val="0"/>
          <w:numId w:val="0"/>
        </w:numPr>
        <w:rPr>
          <w:rFonts w:hint="eastAsia" w:cs="Times New Roman"/>
          <w:kern w:val="2"/>
          <w:sz w:val="21"/>
          <w:szCs w:val="24"/>
          <w:lang w:val="en-US" w:eastAsia="zh-CN" w:bidi="ar-SA"/>
        </w:rPr>
      </w:pPr>
      <w:r>
        <w:rPr>
          <w:rFonts w:hint="eastAsia" w:cs="Times New Roman"/>
          <w:kern w:val="2"/>
          <w:sz w:val="21"/>
          <w:szCs w:val="24"/>
          <w:lang w:val="en-US" w:eastAsia="zh-CN" w:bidi="ar-SA"/>
        </w:rPr>
        <w:t>*具有线路光告警功能，最大程度地保护仪表光模块</w:t>
      </w:r>
    </w:p>
    <w:p w14:paraId="72A12AC2">
      <w:pPr>
        <w:numPr>
          <w:ilvl w:val="0"/>
          <w:numId w:val="0"/>
        </w:numPr>
        <w:rPr>
          <w:rFonts w:hint="eastAsia" w:cs="Times New Roman"/>
          <w:kern w:val="2"/>
          <w:sz w:val="21"/>
          <w:szCs w:val="24"/>
          <w:lang w:val="en-US" w:eastAsia="zh-CN" w:bidi="ar-SA"/>
        </w:rPr>
      </w:pPr>
      <w:r>
        <w:rPr>
          <w:rFonts w:hint="eastAsia" w:cs="Times New Roman"/>
          <w:kern w:val="2"/>
          <w:sz w:val="21"/>
          <w:szCs w:val="24"/>
          <w:lang w:val="en-US" w:eastAsia="zh-CN" w:bidi="ar-SA"/>
        </w:rPr>
        <w:t>*实时测试功能，方便观察光纤实时对接效果</w:t>
      </w:r>
    </w:p>
    <w:p w14:paraId="29636A54">
      <w:pPr>
        <w:numPr>
          <w:ilvl w:val="0"/>
          <w:numId w:val="0"/>
        </w:numPr>
        <w:rPr>
          <w:rFonts w:hint="eastAsia" w:cs="Times New Roman"/>
          <w:kern w:val="2"/>
          <w:sz w:val="21"/>
          <w:szCs w:val="24"/>
          <w:lang w:val="en-US" w:eastAsia="zh-CN" w:bidi="ar-SA"/>
        </w:rPr>
      </w:pPr>
      <w:r>
        <w:rPr>
          <w:rFonts w:hint="eastAsia" w:cs="Times New Roman"/>
          <w:kern w:val="2"/>
          <w:sz w:val="21"/>
          <w:szCs w:val="24"/>
          <w:lang w:val="en-US" w:eastAsia="zh-CN" w:bidi="ar-SA"/>
        </w:rPr>
        <w:t>*内置大功率红光源，可方便肉眼检测近端光纤线路中的故障点</w:t>
      </w:r>
    </w:p>
    <w:p w14:paraId="02ADB455">
      <w:pPr>
        <w:numPr>
          <w:ilvl w:val="0"/>
          <w:numId w:val="0"/>
        </w:numPr>
        <w:rPr>
          <w:rFonts w:hint="eastAsia" w:cs="Times New Roman"/>
          <w:kern w:val="2"/>
          <w:sz w:val="21"/>
          <w:szCs w:val="24"/>
          <w:lang w:val="en-US" w:eastAsia="zh-CN" w:bidi="ar-SA"/>
        </w:rPr>
      </w:pPr>
      <w:r>
        <w:rPr>
          <w:rFonts w:hint="eastAsia" w:cs="Times New Roman"/>
          <w:kern w:val="2"/>
          <w:sz w:val="21"/>
          <w:szCs w:val="24"/>
          <w:lang w:val="en-US" w:eastAsia="zh-CN" w:bidi="ar-SA"/>
        </w:rPr>
        <w:t>*可选配光功率计功能</w:t>
      </w:r>
    </w:p>
    <w:p w14:paraId="2BE3543E">
      <w:pPr>
        <w:numPr>
          <w:ilvl w:val="0"/>
          <w:numId w:val="0"/>
        </w:numPr>
        <w:rPr>
          <w:rFonts w:hint="eastAsia" w:cs="Times New Roman"/>
          <w:kern w:val="2"/>
          <w:sz w:val="21"/>
          <w:szCs w:val="24"/>
          <w:lang w:val="en-US" w:eastAsia="zh-CN" w:bidi="ar-SA"/>
        </w:rPr>
      </w:pPr>
      <w:r>
        <w:rPr>
          <w:rFonts w:hint="eastAsia" w:cs="Times New Roman"/>
          <w:kern w:val="2"/>
          <w:sz w:val="21"/>
          <w:szCs w:val="24"/>
          <w:lang w:val="en-US" w:eastAsia="zh-CN" w:bidi="ar-SA"/>
        </w:rPr>
        <w:t>*支持中英文输入，拥有友好的输入界面，完全模拟电脑键盘输入</w:t>
      </w:r>
    </w:p>
    <w:p w14:paraId="181C7C98">
      <w:pPr>
        <w:numPr>
          <w:ilvl w:val="0"/>
          <w:numId w:val="0"/>
        </w:numPr>
        <w:rPr>
          <w:rFonts w:hint="eastAsia" w:cs="Times New Roman"/>
          <w:kern w:val="2"/>
          <w:sz w:val="21"/>
          <w:szCs w:val="24"/>
          <w:lang w:val="en-US" w:eastAsia="zh-CN" w:bidi="ar-SA"/>
        </w:rPr>
      </w:pPr>
      <w:r>
        <w:rPr>
          <w:rFonts w:hint="eastAsia" w:cs="Times New Roman"/>
          <w:kern w:val="2"/>
          <w:sz w:val="21"/>
          <w:szCs w:val="24"/>
          <w:lang w:val="en-US" w:eastAsia="zh-CN" w:bidi="ar-SA"/>
        </w:rPr>
        <w:t>*自带4GB内存，可存储超过40000条曲线</w:t>
      </w:r>
    </w:p>
    <w:p w14:paraId="6FB4122A">
      <w:pPr>
        <w:numPr>
          <w:ilvl w:val="0"/>
          <w:numId w:val="0"/>
        </w:numPr>
        <w:rPr>
          <w:rFonts w:hint="eastAsia" w:cs="Times New Roman"/>
          <w:kern w:val="2"/>
          <w:sz w:val="21"/>
          <w:szCs w:val="24"/>
          <w:lang w:val="en-US" w:eastAsia="zh-CN" w:bidi="ar-SA"/>
        </w:rPr>
      </w:pPr>
      <w:r>
        <w:rPr>
          <w:rFonts w:hint="eastAsia" w:cs="Times New Roman"/>
          <w:kern w:val="2"/>
          <w:sz w:val="21"/>
          <w:szCs w:val="24"/>
          <w:lang w:val="en-US" w:eastAsia="zh-CN" w:bidi="ar-SA"/>
        </w:rPr>
        <w:t>*带有截图功能，可截取仪表屏幕显示的当前界面，并自动保存为图片格式文件</w:t>
      </w:r>
    </w:p>
    <w:p w14:paraId="58F9D039">
      <w:pPr>
        <w:numPr>
          <w:ilvl w:val="0"/>
          <w:numId w:val="0"/>
        </w:numPr>
        <w:rPr>
          <w:rFonts w:hint="eastAsia" w:cs="Times New Roman"/>
          <w:kern w:val="2"/>
          <w:sz w:val="21"/>
          <w:szCs w:val="24"/>
          <w:lang w:val="en-US" w:eastAsia="zh-CN" w:bidi="ar-SA"/>
        </w:rPr>
      </w:pPr>
      <w:r>
        <w:rPr>
          <w:rFonts w:hint="eastAsia" w:cs="Times New Roman"/>
          <w:kern w:val="2"/>
          <w:sz w:val="21"/>
          <w:szCs w:val="24"/>
          <w:lang w:val="en-US" w:eastAsia="zh-CN" w:bidi="ar-SA"/>
        </w:rPr>
        <w:t>*配置PC数据分析与仿真软件，可批量处理、生成、打印测试报告</w:t>
      </w:r>
    </w:p>
    <w:p w14:paraId="6DDD53BC">
      <w:pPr>
        <w:numPr>
          <w:ilvl w:val="0"/>
          <w:numId w:val="0"/>
        </w:numPr>
        <w:rPr>
          <w:rFonts w:hint="eastAsia" w:cs="Times New Roman"/>
          <w:kern w:val="2"/>
          <w:sz w:val="21"/>
          <w:szCs w:val="24"/>
          <w:lang w:val="en-US" w:eastAsia="zh-CN" w:bidi="ar-SA"/>
        </w:rPr>
      </w:pPr>
      <w:r>
        <w:rPr>
          <w:rFonts w:hint="eastAsia" w:cs="Times New Roman"/>
          <w:kern w:val="2"/>
          <w:sz w:val="21"/>
          <w:szCs w:val="24"/>
          <w:lang w:val="en-US" w:eastAsia="zh-CN" w:bidi="ar-SA"/>
        </w:rPr>
        <w:t>*配备2个主USB接口和一个从USB接口，可进行电脑仿真控制及外接存储设备</w:t>
      </w:r>
    </w:p>
    <w:p w14:paraId="59B0589B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 w:cs="Times New Roman"/>
          <w:kern w:val="2"/>
          <w:sz w:val="21"/>
          <w:szCs w:val="24"/>
          <w:lang w:val="en-US" w:eastAsia="zh-CN" w:bidi="ar-SA"/>
        </w:rPr>
        <w:t>*通过RJ-45或选配的WiFi模块，可实现PC远程访问控制操作</w:t>
      </w:r>
    </w:p>
    <w:p w14:paraId="763C0390">
      <w:pPr>
        <w:numPr>
          <w:ilvl w:val="0"/>
          <w:numId w:val="0"/>
        </w:numPr>
        <w:rPr>
          <w:rFonts w:hint="default"/>
          <w:lang w:val="en-US" w:eastAsia="zh-CN"/>
        </w:rPr>
      </w:pPr>
    </w:p>
    <w:p w14:paraId="638B7A37">
      <w:pPr>
        <w:numPr>
          <w:ilvl w:val="0"/>
          <w:numId w:val="0"/>
        </w:numPr>
        <w:ind w:left="0" w:leftChars="0" w:firstLine="0" w:firstLineChars="0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 w:ascii="Arial" w:hAnsi="Arial" w:eastAsia="微软雅黑" w:cs="Times New Roman"/>
          <w:b/>
          <w:bCs/>
          <w:kern w:val="2"/>
          <w:sz w:val="24"/>
          <w:szCs w:val="24"/>
          <w:lang w:val="en-US" w:eastAsia="zh-CN" w:bidi="ar-SA"/>
        </w:rPr>
        <w:t>三、</w:t>
      </w:r>
      <w:r>
        <w:rPr>
          <w:rFonts w:hint="eastAsia" w:cs="Times New Roman"/>
          <w:b/>
          <w:bCs/>
          <w:kern w:val="2"/>
          <w:sz w:val="24"/>
          <w:szCs w:val="24"/>
          <w:lang w:val="en-US" w:eastAsia="zh-CN" w:bidi="ar-SA"/>
        </w:rPr>
        <w:t>设备</w:t>
      </w:r>
      <w:r>
        <w:rPr>
          <w:rFonts w:hint="eastAsia"/>
          <w:b/>
          <w:bCs/>
          <w:sz w:val="24"/>
          <w:szCs w:val="24"/>
          <w:lang w:val="en-US" w:eastAsia="zh-CN"/>
        </w:rPr>
        <w:t>参数</w:t>
      </w:r>
    </w:p>
    <w:p w14:paraId="1C4D329A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*动态范围：35/33dB</w:t>
      </w:r>
    </w:p>
    <w:p w14:paraId="729D466E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*事件盲区：0.8米</w:t>
      </w:r>
    </w:p>
    <w:p w14:paraId="11C7F61B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*衰减盲区：4米</w:t>
      </w:r>
    </w:p>
    <w:p w14:paraId="022510AC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*脉冲宽度：3ns, 5ns, 10ns, 20ns, 50ns, 100ns, 200ns, 500ns, 1μs, 2μs, 5μs, 10μs, 20μs</w:t>
      </w:r>
    </w:p>
    <w:p w14:paraId="356FED48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*距离范围：短距测试、500m、2km、5km、10km、20km、40km、80km、120km、160km</w:t>
      </w:r>
    </w:p>
    <w:p w14:paraId="448E2E6A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*采样分辨率：最小0.25m</w:t>
      </w:r>
    </w:p>
    <w:p w14:paraId="0869B7CC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*采样点：128,000点</w:t>
      </w:r>
    </w:p>
    <w:p w14:paraId="33961A2E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*线性度：≤0.05dB/dB</w:t>
      </w:r>
    </w:p>
    <w:p w14:paraId="39012172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*损耗阈值：0.01dB</w:t>
      </w:r>
    </w:p>
    <w:p w14:paraId="34DA2864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*损耗分辨率：0.001dB</w:t>
      </w:r>
    </w:p>
    <w:p w14:paraId="6A9E6D5A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*距离分辨率：0.01m</w:t>
      </w:r>
    </w:p>
    <w:p w14:paraId="37C1B0DE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*距离精确度：±(1m+测试距离×3×10-5+采样分辨率) （不计折射率误差）</w:t>
      </w:r>
    </w:p>
    <w:p w14:paraId="3B56E4F8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*数据存储：40000条以上测试曲线</w:t>
      </w:r>
    </w:p>
    <w:p w14:paraId="7BC8A486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*红光源：10mW，CW/2Hz</w:t>
      </w:r>
    </w:p>
    <w:p w14:paraId="6CF434B1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*接口：RJ-45接口，3个USB口（Type A×2，Type B×1）</w:t>
      </w:r>
    </w:p>
    <w:p w14:paraId="5792FE52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*显示器：7英寸TFT-LCD（可选触摸屏功能）</w:t>
      </w:r>
    </w:p>
    <w:p w14:paraId="70C99C8B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*电池：7.4V/4.4Ah锂电池（带航空认证），可连续使用6小时</w:t>
      </w:r>
    </w:p>
    <w:p w14:paraId="227DEF32">
      <w:pPr>
        <w:numPr>
          <w:ilvl w:val="0"/>
          <w:numId w:val="0"/>
        </w:numPr>
        <w:ind w:leftChars="0"/>
        <w:rPr>
          <w:rFonts w:hint="default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四、一般参数</w:t>
      </w:r>
    </w:p>
    <w:p w14:paraId="35F381DB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*工作温度：-10℃~+50℃</w:t>
      </w:r>
    </w:p>
    <w:p w14:paraId="2FC39CDE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*贮存温度：-20℃~+75℃</w:t>
      </w:r>
    </w:p>
    <w:p w14:paraId="66098DA6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*湿度：≤95%（无冷凝）</w:t>
      </w:r>
    </w:p>
    <w:p w14:paraId="2F11DFD0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*尺寸/重量：253×168×73.5mm / 1.5kg（含电池）</w:t>
      </w:r>
    </w:p>
    <w:p w14:paraId="74ECF201">
      <w:pPr>
        <w:numPr>
          <w:ilvl w:val="0"/>
          <w:numId w:val="0"/>
        </w:numPr>
        <w:ind w:leftChars="0"/>
        <w:rPr>
          <w:rFonts w:hint="default"/>
          <w:b/>
          <w:bCs/>
          <w:lang w:val="en-US" w:eastAsia="zh-CN"/>
        </w:rPr>
      </w:pPr>
      <w:r>
        <w:rPr>
          <w:rFonts w:hint="eastAsia"/>
          <w:lang w:val="en-US" w:eastAsia="zh-CN"/>
        </w:rPr>
        <w:t>*选件：SC/ST/LC适配头、光功率计、触摸屏、WiFi</w:t>
      </w:r>
    </w:p>
    <w:p w14:paraId="58A62CCC">
      <w:pPr>
        <w:numPr>
          <w:ilvl w:val="0"/>
          <w:numId w:val="0"/>
        </w:numPr>
        <w:ind w:leftChars="0"/>
        <w:rPr>
          <w:rFonts w:hint="default"/>
          <w:b/>
          <w:bCs/>
          <w:lang w:val="en-US" w:eastAsia="zh-CN"/>
        </w:rPr>
      </w:pPr>
    </w:p>
    <w:p w14:paraId="30D855C9">
      <w:pPr>
        <w:numPr>
          <w:ilvl w:val="0"/>
          <w:numId w:val="0"/>
        </w:numPr>
        <w:ind w:left="0" w:leftChars="0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 w:ascii="Arial" w:hAnsi="Arial" w:eastAsia="微软雅黑" w:cs="Times New Roman"/>
          <w:b/>
          <w:bCs/>
          <w:kern w:val="2"/>
          <w:sz w:val="24"/>
          <w:szCs w:val="24"/>
          <w:lang w:val="en-US" w:eastAsia="zh-CN" w:bidi="ar-SA"/>
        </w:rPr>
        <w:t>五、</w:t>
      </w:r>
      <w:r>
        <w:rPr>
          <w:rFonts w:hint="eastAsia"/>
          <w:b/>
          <w:bCs/>
          <w:sz w:val="24"/>
          <w:szCs w:val="24"/>
          <w:lang w:val="en-US" w:eastAsia="zh-CN"/>
        </w:rPr>
        <w:t>产品配置</w:t>
      </w:r>
    </w:p>
    <w:p w14:paraId="243E1635">
      <w:pPr>
        <w:numPr>
          <w:ilvl w:val="0"/>
          <w:numId w:val="0"/>
        </w:numPr>
        <w:rPr>
          <w:rFonts w:hint="eastAsia" w:ascii="Arial" w:hAnsi="Arial" w:eastAsia="微软雅黑" w:cs="Times New Roman"/>
          <w:kern w:val="2"/>
          <w:sz w:val="21"/>
          <w:szCs w:val="24"/>
          <w:lang w:val="en-US" w:eastAsia="zh-CN" w:bidi="ar-SA"/>
        </w:rPr>
      </w:pPr>
      <w:r>
        <w:rPr>
          <w:rFonts w:hint="eastAsia"/>
          <w:lang w:val="en-US" w:eastAsia="zh-CN"/>
        </w:rPr>
        <w:t>主机、腕带、12V电源适配器、锂电池、FC适配头、USB连接线、快速指南、光盘、携带包</w:t>
      </w:r>
    </w:p>
    <w:p w14:paraId="24CF9039">
      <w:pPr>
        <w:numPr>
          <w:ilvl w:val="0"/>
          <w:numId w:val="0"/>
        </w:numPr>
        <w:ind w:left="0" w:leftChars="0"/>
        <w:rPr>
          <w:rFonts w:hint="eastAsia" w:ascii="Arial" w:hAnsi="Arial" w:eastAsia="微软雅黑" w:cs="Times New Roman"/>
          <w:kern w:val="2"/>
          <w:sz w:val="21"/>
          <w:szCs w:val="24"/>
          <w:lang w:val="en-US" w:eastAsia="zh-CN" w:bidi="ar-SA"/>
        </w:rPr>
      </w:pPr>
    </w:p>
    <w:p w14:paraId="760DF318">
      <w:pPr>
        <w:numPr>
          <w:ilvl w:val="0"/>
          <w:numId w:val="0"/>
        </w:numPr>
        <w:ind w:left="0" w:leftChars="0"/>
        <w:rPr>
          <w:rFonts w:hint="default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kern w:val="2"/>
          <w:sz w:val="24"/>
          <w:szCs w:val="24"/>
          <w:lang w:val="en-US" w:eastAsia="zh-CN" w:bidi="ar-SA"/>
        </w:rPr>
        <w:t>六、</w:t>
      </w:r>
      <w:r>
        <w:rPr>
          <w:rFonts w:hint="eastAsia" w:ascii="微软雅黑" w:hAnsi="微软雅黑" w:cs="微软雅黑"/>
          <w:b/>
          <w:bCs/>
          <w:sz w:val="24"/>
          <w:szCs w:val="24"/>
          <w:lang w:val="en-US" w:eastAsia="zh-CN"/>
        </w:rPr>
        <w:t>GO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系列模块清单</w:t>
      </w:r>
      <w:r>
        <w:rPr>
          <w:rFonts w:hint="eastAsia" w:ascii="微软雅黑" w:hAnsi="微软雅黑" w:cs="微软雅黑"/>
          <w:b/>
          <w:bCs/>
          <w:sz w:val="24"/>
          <w:szCs w:val="24"/>
          <w:lang w:val="en-US" w:eastAsia="zh-CN"/>
        </w:rPr>
        <w:t>（选配）</w:t>
      </w:r>
    </w:p>
    <w:p w14:paraId="1A2A4724">
      <w:pPr>
        <w:numPr>
          <w:ilvl w:val="0"/>
          <w:numId w:val="0"/>
        </w:numPr>
        <w:rPr>
          <w:rFonts w:hint="default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GO-26PRO</w:t>
      </w: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ab/>
      </w: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1310/1550nm</w:t>
      </w: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ab/>
      </w: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28/26dB</w:t>
      </w: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ab/>
      </w: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0.8/4m（选配）</w:t>
      </w:r>
    </w:p>
    <w:p w14:paraId="649F4412">
      <w:pPr>
        <w:numPr>
          <w:ilvl w:val="0"/>
          <w:numId w:val="0"/>
        </w:numPr>
        <w:rPr>
          <w:rFonts w:hint="default"/>
          <w:b w:val="0"/>
          <w:bCs w:val="0"/>
          <w:color w:val="FF0000"/>
          <w:lang w:val="en-US" w:eastAsia="zh-CN"/>
        </w:rPr>
      </w:pPr>
      <w:r>
        <w:rPr>
          <w:rFonts w:hint="eastAsia"/>
          <w:b w:val="0"/>
          <w:bCs w:val="0"/>
          <w:color w:val="FF0000"/>
          <w:lang w:val="en-US" w:eastAsia="zh-CN"/>
        </w:rPr>
        <w:t>GO-35PRO</w:t>
      </w:r>
      <w:r>
        <w:rPr>
          <w:rFonts w:hint="eastAsia"/>
          <w:b w:val="0"/>
          <w:bCs w:val="0"/>
          <w:color w:val="FF0000"/>
          <w:lang w:val="en-US" w:eastAsia="zh-CN"/>
        </w:rPr>
        <w:tab/>
      </w:r>
      <w:r>
        <w:rPr>
          <w:rFonts w:hint="eastAsia"/>
          <w:b w:val="0"/>
          <w:bCs w:val="0"/>
          <w:color w:val="FF0000"/>
          <w:lang w:val="en-US" w:eastAsia="zh-CN"/>
        </w:rPr>
        <w:t>1310/1550nm</w:t>
      </w:r>
      <w:r>
        <w:rPr>
          <w:rFonts w:hint="eastAsia"/>
          <w:b w:val="0"/>
          <w:bCs w:val="0"/>
          <w:color w:val="FF0000"/>
          <w:lang w:val="en-US" w:eastAsia="zh-CN"/>
        </w:rPr>
        <w:tab/>
      </w:r>
      <w:r>
        <w:rPr>
          <w:rFonts w:hint="eastAsia"/>
          <w:b w:val="0"/>
          <w:bCs w:val="0"/>
          <w:color w:val="FF0000"/>
          <w:lang w:val="en-US" w:eastAsia="zh-CN"/>
        </w:rPr>
        <w:t>35/33dB</w:t>
      </w:r>
      <w:r>
        <w:rPr>
          <w:rFonts w:hint="eastAsia"/>
          <w:b w:val="0"/>
          <w:bCs w:val="0"/>
          <w:color w:val="FF0000"/>
          <w:lang w:val="en-US" w:eastAsia="zh-CN"/>
        </w:rPr>
        <w:tab/>
      </w:r>
      <w:r>
        <w:rPr>
          <w:rFonts w:hint="eastAsia"/>
          <w:b w:val="0"/>
          <w:bCs w:val="0"/>
          <w:color w:val="FF0000"/>
          <w:lang w:val="en-US" w:eastAsia="zh-CN"/>
        </w:rPr>
        <w:t>0.8/4m（标配）</w:t>
      </w:r>
    </w:p>
    <w:p w14:paraId="635982D6">
      <w:pPr>
        <w:numPr>
          <w:ilvl w:val="0"/>
          <w:numId w:val="0"/>
        </w:numP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GO-38PRO</w:t>
      </w: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ab/>
      </w: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1310/1550nm</w:t>
      </w: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ab/>
      </w: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40/38dB</w:t>
      </w: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ab/>
      </w: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1/4m（选配）</w:t>
      </w:r>
    </w:p>
    <w:p w14:paraId="58A711A5">
      <w:pPr>
        <w:numPr>
          <w:ilvl w:val="0"/>
          <w:numId w:val="0"/>
        </w:numP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GO-40PRO</w:t>
      </w: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ab/>
      </w: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1310/1550nm</w:t>
      </w: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ab/>
      </w: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43/41dB</w:t>
      </w: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ab/>
      </w: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1/5m（选配）</w:t>
      </w:r>
    </w:p>
    <w:p w14:paraId="38A38640">
      <w:pPr>
        <w:numPr>
          <w:ilvl w:val="0"/>
          <w:numId w:val="0"/>
        </w:numP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GO-43PRO</w:t>
      </w: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ab/>
      </w: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1310/1550/1625nm（F为带滤波器）</w:t>
      </w: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ab/>
      </w: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40/38/38dB</w:t>
      </w: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ab/>
      </w: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1/4m（选配）</w:t>
      </w:r>
    </w:p>
    <w:p w14:paraId="64CAA4BE">
      <w:pPr>
        <w:numPr>
          <w:ilvl w:val="0"/>
          <w:numId w:val="0"/>
        </w:numPr>
        <w:rPr>
          <w:rFonts w:hint="eastAsia" w:ascii="Arial" w:hAnsi="Arial" w:eastAsia="微软雅黑" w:cs="Times New Roman"/>
          <w:b w:val="0"/>
          <w:bCs w:val="0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GO-45PRO</w:t>
      </w: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ab/>
      </w: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1310/1550/1625nm（F为带滤波器）</w:t>
      </w: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ab/>
      </w: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43/41/41dB</w:t>
      </w: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ab/>
      </w: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1/5m（选配）</w:t>
      </w:r>
    </w:p>
    <w:p w14:paraId="141EE238">
      <w:pPr>
        <w:numPr>
          <w:ilvl w:val="0"/>
          <w:numId w:val="0"/>
        </w:numPr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 w:cs="Times New Roman"/>
          <w:b/>
          <w:bCs/>
          <w:kern w:val="2"/>
          <w:sz w:val="24"/>
          <w:szCs w:val="24"/>
          <w:lang w:val="en-US" w:eastAsia="zh-CN" w:bidi="ar-SA"/>
        </w:rPr>
        <w:t>七</w:t>
      </w:r>
      <w:r>
        <w:rPr>
          <w:rFonts w:hint="eastAsia" w:ascii="Arial" w:hAnsi="Arial" w:eastAsia="微软雅黑" w:cs="Times New Roman"/>
          <w:b/>
          <w:bCs/>
          <w:kern w:val="2"/>
          <w:sz w:val="24"/>
          <w:szCs w:val="24"/>
          <w:lang w:val="en-US" w:eastAsia="zh-CN" w:bidi="ar-SA"/>
        </w:rPr>
        <w:t>、</w:t>
      </w:r>
      <w:r>
        <w:rPr>
          <w:rFonts w:hint="eastAsia"/>
          <w:b/>
          <w:bCs/>
          <w:sz w:val="24"/>
          <w:szCs w:val="24"/>
          <w:lang w:val="en-US" w:eastAsia="zh-CN"/>
        </w:rPr>
        <w:t>核心应用行业</w:t>
      </w:r>
    </w:p>
    <w:p w14:paraId="656F0359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部队、电力、石油、石化、航空、运营商、铁路、高速、能源……</w:t>
      </w:r>
    </w:p>
    <w:p w14:paraId="55C41E06">
      <w:pPr>
        <w:numPr>
          <w:ilvl w:val="0"/>
          <w:numId w:val="0"/>
        </w:numPr>
        <w:rPr>
          <w:rFonts w:hint="eastAsia"/>
          <w:lang w:val="en-US" w:eastAsia="zh-CN"/>
        </w:rPr>
      </w:pPr>
    </w:p>
    <w:p w14:paraId="2E6AB88F">
      <w:pPr>
        <w:numPr>
          <w:ilvl w:val="0"/>
          <w:numId w:val="0"/>
        </w:numPr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 w:cs="Times New Roman"/>
          <w:b/>
          <w:bCs/>
          <w:kern w:val="2"/>
          <w:sz w:val="24"/>
          <w:szCs w:val="24"/>
          <w:lang w:val="en-US" w:eastAsia="zh-CN" w:bidi="ar-SA"/>
        </w:rPr>
        <w:t>八</w:t>
      </w:r>
      <w:bookmarkStart w:id="0" w:name="_GoBack"/>
      <w:bookmarkEnd w:id="0"/>
      <w:r>
        <w:rPr>
          <w:rFonts w:hint="eastAsia" w:ascii="Arial" w:hAnsi="Arial" w:eastAsia="微软雅黑" w:cs="Times New Roman"/>
          <w:b/>
          <w:bCs/>
          <w:kern w:val="2"/>
          <w:sz w:val="24"/>
          <w:szCs w:val="24"/>
          <w:lang w:val="en-US" w:eastAsia="zh-CN" w:bidi="ar-SA"/>
        </w:rPr>
        <w:t>、</w:t>
      </w:r>
      <w:r>
        <w:rPr>
          <w:rFonts w:hint="eastAsia"/>
          <w:b/>
          <w:bCs/>
          <w:sz w:val="24"/>
          <w:szCs w:val="24"/>
          <w:lang w:val="en-US" w:eastAsia="zh-CN"/>
        </w:rPr>
        <w:t>售后服务</w:t>
      </w:r>
    </w:p>
    <w:p w14:paraId="1EEABFEE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*</w:t>
      </w:r>
      <w:r>
        <w:rPr>
          <w:rFonts w:hint="default"/>
          <w:lang w:val="en-US" w:eastAsia="zh-CN"/>
        </w:rPr>
        <w:t xml:space="preserve">全国联保 / 7×24 小时响应 / </w:t>
      </w:r>
      <w:r>
        <w:rPr>
          <w:rFonts w:hint="eastAsia"/>
          <w:lang w:val="en-US" w:eastAsia="zh-CN"/>
        </w:rPr>
        <w:t>主机</w:t>
      </w:r>
      <w:r>
        <w:rPr>
          <w:rFonts w:hint="default"/>
          <w:lang w:val="en-US" w:eastAsia="zh-CN"/>
        </w:rPr>
        <w:t>质保</w:t>
      </w:r>
      <w:r>
        <w:rPr>
          <w:rFonts w:hint="eastAsia"/>
          <w:lang w:val="en-US" w:eastAsia="zh-CN"/>
        </w:rPr>
        <w:t>1</w:t>
      </w:r>
      <w:r>
        <w:rPr>
          <w:rFonts w:hint="default"/>
          <w:lang w:val="en-US" w:eastAsia="zh-CN"/>
        </w:rPr>
        <w:t xml:space="preserve"> 年（</w:t>
      </w:r>
      <w:r>
        <w:rPr>
          <w:rFonts w:hint="eastAsia"/>
          <w:lang w:val="en-US" w:eastAsia="zh-CN"/>
        </w:rPr>
        <w:t>配件</w:t>
      </w:r>
      <w:r>
        <w:rPr>
          <w:rFonts w:hint="default"/>
          <w:lang w:val="en-US" w:eastAsia="zh-CN"/>
        </w:rPr>
        <w:t>部件质保</w:t>
      </w:r>
      <w:r>
        <w:rPr>
          <w:rFonts w:hint="eastAsia"/>
          <w:lang w:val="en-US" w:eastAsia="zh-CN"/>
        </w:rPr>
        <w:t>半</w:t>
      </w:r>
      <w:r>
        <w:rPr>
          <w:rFonts w:hint="default"/>
          <w:lang w:val="en-US" w:eastAsia="zh-CN"/>
        </w:rPr>
        <w:t>年）​</w:t>
      </w:r>
    </w:p>
    <w:p w14:paraId="1335403C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*</w:t>
      </w:r>
      <w:r>
        <w:rPr>
          <w:rFonts w:hint="default"/>
          <w:lang w:val="en-US" w:eastAsia="zh-CN"/>
        </w:rPr>
        <w:t>报修渠道</w:t>
      </w:r>
      <w:r>
        <w:rPr>
          <w:rFonts w:hint="eastAsia"/>
          <w:lang w:val="en-US" w:eastAsia="zh-CN"/>
        </w:rPr>
        <w:t>：杨工 18108048914</w:t>
      </w: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0" w:num="1"/>
      <w:rtlGutter w:val="0"/>
      <w:docGrid w:type="lines" w:linePitch="387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B5CD170">
    <w:pPr>
      <w:pStyle w:val="11"/>
      <w:rPr>
        <w:rFonts w:hint="default"/>
        <w:sz w:val="24"/>
        <w:szCs w:val="24"/>
        <w:lang w:val="en-US" w:eastAsia="zh-CN"/>
      </w:rPr>
    </w:pPr>
    <w:r>
      <w:rPr>
        <w:rFonts w:hint="eastAsia"/>
        <w:lang w:val="en-US" w:eastAsia="zh-CN"/>
      </w:rPr>
      <w:t>官网：</w:t>
    </w:r>
    <w:r>
      <w:rPr>
        <w:rFonts w:hint="eastAsia"/>
        <w:sz w:val="24"/>
        <w:szCs w:val="24"/>
        <w:lang w:val="en-US" w:eastAsia="zh-CN"/>
      </w:rPr>
      <w:fldChar w:fldCharType="begin"/>
    </w:r>
    <w:r>
      <w:rPr>
        <w:rFonts w:hint="eastAsia"/>
        <w:sz w:val="24"/>
        <w:szCs w:val="24"/>
        <w:lang w:val="en-US" w:eastAsia="zh-CN"/>
      </w:rPr>
      <w:instrText xml:space="preserve"> HYPERLINK "http://www.dingxunacnn.com" </w:instrText>
    </w:r>
    <w:r>
      <w:rPr>
        <w:rFonts w:hint="eastAsia"/>
        <w:sz w:val="24"/>
        <w:szCs w:val="24"/>
        <w:lang w:val="en-US" w:eastAsia="zh-CN"/>
      </w:rPr>
      <w:fldChar w:fldCharType="separate"/>
    </w:r>
    <w:r>
      <w:rPr>
        <w:rStyle w:val="16"/>
        <w:rFonts w:hint="eastAsia"/>
        <w:sz w:val="24"/>
        <w:szCs w:val="24"/>
        <w:lang w:val="en-US" w:eastAsia="zh-CN"/>
      </w:rPr>
      <w:t>www.dingxunacnn.com</w:t>
    </w:r>
    <w:r>
      <w:rPr>
        <w:rFonts w:hint="eastAsia"/>
        <w:sz w:val="24"/>
        <w:szCs w:val="24"/>
        <w:lang w:val="en-US" w:eastAsia="zh-CN"/>
      </w:rPr>
      <w:fldChar w:fldCharType="end"/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49DDE11">
    <w:pPr>
      <w:pStyle w:val="12"/>
      <w:rPr>
        <w:rFonts w:hint="default" w:eastAsia="微软雅黑"/>
        <w:lang w:val="en-US" w:eastAsia="zh-CN"/>
      </w:rPr>
    </w:pPr>
    <w:r>
      <w:drawing>
        <wp:inline distT="0" distB="0" distL="114300" distR="114300">
          <wp:extent cx="326390" cy="326390"/>
          <wp:effectExtent l="0" t="0" r="16510" b="16510"/>
          <wp:docPr id="3" name="图片 2" descr="91e164542513c935d312ed5de54dde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2" descr="91e164542513c935d312ed5de54dde4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26390" cy="3263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lang w:val="en-US" w:eastAsia="zh-CN"/>
      </w:rPr>
      <w:t xml:space="preserve">                                               成都鼎讯信通科技有限公司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attachedTemplate r:id="rId1"/>
  <w:documentProtection w:enforcement="0"/>
  <w:defaultTabStop w:val="420"/>
  <w:drawingGridHorizontalSpacing w:val="210"/>
  <w:drawingGridVerticalSpacing w:val="194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AA24D9F"/>
    <w:rsid w:val="01415CD2"/>
    <w:rsid w:val="015370F0"/>
    <w:rsid w:val="048B317E"/>
    <w:rsid w:val="07011CC2"/>
    <w:rsid w:val="07644792"/>
    <w:rsid w:val="09284798"/>
    <w:rsid w:val="0F2B6FD9"/>
    <w:rsid w:val="12A6008B"/>
    <w:rsid w:val="14805E6D"/>
    <w:rsid w:val="183C240D"/>
    <w:rsid w:val="1AA24D9F"/>
    <w:rsid w:val="1CAC58FC"/>
    <w:rsid w:val="1FAF745A"/>
    <w:rsid w:val="20672C08"/>
    <w:rsid w:val="21836707"/>
    <w:rsid w:val="231B63C2"/>
    <w:rsid w:val="28DA2E89"/>
    <w:rsid w:val="2A4254F9"/>
    <w:rsid w:val="2B181FE1"/>
    <w:rsid w:val="2C6B2EEC"/>
    <w:rsid w:val="2D1F32F4"/>
    <w:rsid w:val="2EB42885"/>
    <w:rsid w:val="30B579BF"/>
    <w:rsid w:val="323B4D81"/>
    <w:rsid w:val="34B70380"/>
    <w:rsid w:val="370C1079"/>
    <w:rsid w:val="3A0359F6"/>
    <w:rsid w:val="3AE174A3"/>
    <w:rsid w:val="3BC940B5"/>
    <w:rsid w:val="3DDE05F5"/>
    <w:rsid w:val="3F512FA9"/>
    <w:rsid w:val="415B003E"/>
    <w:rsid w:val="4210434B"/>
    <w:rsid w:val="43446334"/>
    <w:rsid w:val="434846C3"/>
    <w:rsid w:val="44A84E71"/>
    <w:rsid w:val="459308C3"/>
    <w:rsid w:val="477DCE1E"/>
    <w:rsid w:val="505B2DB6"/>
    <w:rsid w:val="52D43CC9"/>
    <w:rsid w:val="54566334"/>
    <w:rsid w:val="573E1E21"/>
    <w:rsid w:val="5A4968FF"/>
    <w:rsid w:val="5B487E91"/>
    <w:rsid w:val="5CF9550F"/>
    <w:rsid w:val="5EFEBDE8"/>
    <w:rsid w:val="607320D3"/>
    <w:rsid w:val="61875360"/>
    <w:rsid w:val="63320977"/>
    <w:rsid w:val="63CF3776"/>
    <w:rsid w:val="6692787F"/>
    <w:rsid w:val="686B6B23"/>
    <w:rsid w:val="68CA2609"/>
    <w:rsid w:val="68CC1AED"/>
    <w:rsid w:val="69BB0F42"/>
    <w:rsid w:val="6A637494"/>
    <w:rsid w:val="6B2807B2"/>
    <w:rsid w:val="6B4D5506"/>
    <w:rsid w:val="6BCF62E6"/>
    <w:rsid w:val="6C00225C"/>
    <w:rsid w:val="6CD3A16D"/>
    <w:rsid w:val="6D535020"/>
    <w:rsid w:val="6E5F49A6"/>
    <w:rsid w:val="6EA878F9"/>
    <w:rsid w:val="6FFF37D2"/>
    <w:rsid w:val="70DE2EF1"/>
    <w:rsid w:val="72D8486C"/>
    <w:rsid w:val="74302426"/>
    <w:rsid w:val="75326E15"/>
    <w:rsid w:val="799A287B"/>
    <w:rsid w:val="79EF706B"/>
    <w:rsid w:val="7C5F4108"/>
    <w:rsid w:val="7F79C282"/>
    <w:rsid w:val="7F7B6CAE"/>
    <w:rsid w:val="7FBF6DD0"/>
    <w:rsid w:val="7FCD17FE"/>
    <w:rsid w:val="7FD7E9A0"/>
    <w:rsid w:val="7FE9FBB2"/>
    <w:rsid w:val="8FFFA67E"/>
    <w:rsid w:val="A97F623E"/>
    <w:rsid w:val="AFBF8780"/>
    <w:rsid w:val="BEEFCB4B"/>
    <w:rsid w:val="BFE6F841"/>
    <w:rsid w:val="D5DE8897"/>
    <w:rsid w:val="E7FE3684"/>
    <w:rsid w:val="EFFF70E4"/>
    <w:rsid w:val="F7EEC240"/>
    <w:rsid w:val="FBF75102"/>
    <w:rsid w:val="FDDC5620"/>
    <w:rsid w:val="FDEA700A"/>
    <w:rsid w:val="FFBFCE42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semiHidden="0" w:name="heading 5"/>
    <w:lsdException w:qFormat="1" w:uiPriority="0" w:semiHidden="0" w:name="heading 6"/>
    <w:lsdException w:qFormat="1" w:uiPriority="0" w:semiHidden="0" w:name="heading 7"/>
    <w:lsdException w:qFormat="1" w:uiPriority="0" w:semiHidden="0" w:name="heading 8"/>
    <w:lsdException w:qFormat="1" w:uiPriority="0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Arial" w:hAnsi="Arial" w:eastAsia="微软雅黑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260" w:beforeLines="0" w:beforeAutospacing="0" w:after="220" w:afterLines="0" w:afterAutospacing="0" w:line="240" w:lineRule="auto"/>
      <w:outlineLvl w:val="0"/>
    </w:pPr>
    <w:rPr>
      <w:rFonts w:ascii="Arial" w:hAnsi="Arial"/>
      <w:b/>
      <w:kern w:val="44"/>
      <w:sz w:val="36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00" w:afterLines="0" w:afterAutospacing="0" w:line="240" w:lineRule="auto"/>
      <w:outlineLvl w:val="1"/>
    </w:pPr>
    <w:rPr>
      <w:rFonts w:ascii="Arial" w:hAnsi="Arial"/>
      <w:b/>
      <w:sz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180" w:afterLines="0" w:afterAutospacing="0" w:line="240" w:lineRule="auto"/>
      <w:outlineLvl w:val="2"/>
    </w:pPr>
    <w:rPr>
      <w:rFonts w:ascii="Arial" w:hAnsi="Arial"/>
      <w:b/>
      <w:sz w:val="30"/>
    </w:rPr>
  </w:style>
  <w:style w:type="paragraph" w:styleId="5">
    <w:name w:val="heading 4"/>
    <w:basedOn w:val="1"/>
    <w:next w:val="1"/>
    <w:unhideWhenUsed/>
    <w:qFormat/>
    <w:uiPriority w:val="0"/>
    <w:pPr>
      <w:keepNext/>
      <w:keepLines/>
      <w:spacing w:before="240" w:beforeLines="0" w:beforeAutospacing="0" w:after="160" w:afterLines="0" w:afterAutospacing="0" w:line="240" w:lineRule="auto"/>
      <w:outlineLvl w:val="3"/>
    </w:pPr>
    <w:rPr>
      <w:rFonts w:ascii="Arial" w:hAnsi="Arial"/>
      <w:b/>
      <w:sz w:val="28"/>
    </w:rPr>
  </w:style>
  <w:style w:type="paragraph" w:styleId="6">
    <w:name w:val="heading 5"/>
    <w:basedOn w:val="1"/>
    <w:next w:val="1"/>
    <w:unhideWhenUsed/>
    <w:qFormat/>
    <w:uiPriority w:val="0"/>
    <w:pPr>
      <w:keepNext/>
      <w:keepLines/>
      <w:spacing w:before="240" w:beforeLines="0" w:beforeAutospacing="0" w:after="160" w:afterLines="0" w:afterAutospacing="0" w:line="240" w:lineRule="auto"/>
      <w:outlineLvl w:val="4"/>
    </w:pPr>
    <w:rPr>
      <w:rFonts w:ascii="Arial" w:hAnsi="Arial"/>
      <w:b/>
      <w:sz w:val="28"/>
    </w:rPr>
  </w:style>
  <w:style w:type="paragraph" w:styleId="7">
    <w:name w:val="heading 6"/>
    <w:basedOn w:val="1"/>
    <w:next w:val="1"/>
    <w:unhideWhenUsed/>
    <w:qFormat/>
    <w:uiPriority w:val="0"/>
    <w:pPr>
      <w:keepNext/>
      <w:keepLines/>
      <w:spacing w:before="240" w:beforeLines="0" w:beforeAutospacing="0" w:after="120" w:afterLines="0" w:afterAutospacing="0" w:line="240" w:lineRule="auto"/>
      <w:outlineLvl w:val="5"/>
    </w:pPr>
    <w:rPr>
      <w:rFonts w:ascii="Arial" w:hAnsi="Arial"/>
      <w:b/>
      <w:sz w:val="24"/>
    </w:rPr>
  </w:style>
  <w:style w:type="paragraph" w:styleId="8">
    <w:name w:val="heading 7"/>
    <w:basedOn w:val="1"/>
    <w:next w:val="1"/>
    <w:unhideWhenUsed/>
    <w:qFormat/>
    <w:uiPriority w:val="0"/>
    <w:pPr>
      <w:keepNext/>
      <w:keepLines/>
      <w:spacing w:before="240" w:beforeLines="0" w:beforeAutospacing="0" w:after="120" w:afterLines="0" w:afterAutospacing="0" w:line="240" w:lineRule="auto"/>
      <w:outlineLvl w:val="6"/>
    </w:pPr>
    <w:rPr>
      <w:rFonts w:ascii="Arial" w:hAnsi="Arial"/>
      <w:b/>
      <w:sz w:val="24"/>
    </w:rPr>
  </w:style>
  <w:style w:type="paragraph" w:styleId="9">
    <w:name w:val="heading 8"/>
    <w:basedOn w:val="1"/>
    <w:next w:val="1"/>
    <w:unhideWhenUsed/>
    <w:qFormat/>
    <w:uiPriority w:val="0"/>
    <w:pPr>
      <w:keepNext/>
      <w:keepLines/>
      <w:spacing w:before="180" w:beforeLines="0" w:beforeAutospacing="0" w:after="64" w:afterLines="0" w:afterAutospacing="0" w:line="240" w:lineRule="auto"/>
      <w:outlineLvl w:val="7"/>
    </w:pPr>
    <w:rPr>
      <w:rFonts w:ascii="Arial" w:hAnsi="Arial"/>
      <w:sz w:val="24"/>
    </w:rPr>
  </w:style>
  <w:style w:type="paragraph" w:styleId="10">
    <w:name w:val="heading 9"/>
    <w:basedOn w:val="1"/>
    <w:next w:val="1"/>
    <w:unhideWhenUsed/>
    <w:qFormat/>
    <w:uiPriority w:val="0"/>
    <w:pPr>
      <w:keepNext/>
      <w:keepLines/>
      <w:spacing w:before="180" w:beforeLines="0" w:beforeAutospacing="0" w:after="64" w:afterLines="0" w:afterAutospacing="0" w:line="240" w:lineRule="auto"/>
      <w:outlineLvl w:val="8"/>
    </w:pPr>
    <w:rPr>
      <w:rFonts w:ascii="Arial" w:hAnsi="Arial"/>
    </w:rPr>
  </w:style>
  <w:style w:type="character" w:default="1" w:styleId="15">
    <w:name w:val="Default Paragraph Font"/>
    <w:qFormat/>
    <w:uiPriority w:val="0"/>
    <w:rPr>
      <w:rFonts w:eastAsia="微软雅黑" w:asciiTheme="minorAscii" w:hAnsiTheme="minorAscii"/>
    </w:rPr>
  </w:style>
  <w:style w:type="table" w:default="1" w:styleId="1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12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14">
    <w:name w:val="Table Grid"/>
    <w:basedOn w:val="13"/>
    <w:qFormat/>
    <w:uiPriority w:val="0"/>
    <w:pPr>
      <w:widowControl w:val="0"/>
      <w:jc w:val="both"/>
    </w:pPr>
    <w:rPr>
      <w:rFonts w:eastAsia="宋体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6">
    <w:name w:val="Hyperlink"/>
    <w:basedOn w:val="15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ata\weboffice\C:\data\weboffice\C:\data\weboffice\C:\data\weboffice\C:\data\weboffice\C:\data\weboffice\C:\Users\June\Library\Containers\com.kingsoft.wpsoffice.mac\Data\C:\data\weboffice\C:\home\ranpeng\C:\Users\53YFKM2\AppData\Roaming\Kingsoft\wps\addons\pool\win-i386\knewfileres_1.0.0.3\wps\0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3</Pages>
  <Words>1318</Words>
  <Characters>1788</Characters>
  <Lines>0</Lines>
  <Paragraphs>0</Paragraphs>
  <TotalTime>0</TotalTime>
  <ScaleCrop>false</ScaleCrop>
  <LinksUpToDate>false</LinksUpToDate>
  <CharactersWithSpaces>1834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2018-05-27T17:24:00Z</dcterms:created>
  <dc:creator>A</dc:creator>
  <cp:lastModifiedBy>shy yang</cp:lastModifiedBy>
  <dcterms:modified xsi:type="dcterms:W3CDTF">2025-12-03T19:44:15Z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woTemplateTypoMode" linkTarget="0">
    <vt:lpwstr/>
  </property>
  <property fmtid="{D5CDD505-2E9C-101B-9397-08002B2CF9AE}" pid="4" name="woTemplate" linkTarget="0">
    <vt:i4>0</vt:i4>
  </property>
  <property fmtid="{D5CDD505-2E9C-101B-9397-08002B2CF9AE}" pid="5" name="KSOTemplateDocerSaveRecord">
    <vt:lpwstr>eyJoZGlkIjoiNmIzZTIxZmUyOWI0N2IyZWRkMzY3MDU1MGU4NTk3NmMiLCJ1c2VySWQiOiIzNTYxMTIzNjIifQ==</vt:lpwstr>
  </property>
  <property fmtid="{D5CDD505-2E9C-101B-9397-08002B2CF9AE}" pid="6" name="ICV">
    <vt:lpwstr>80FEC70A2C7740D6AA9EE6C2D0EFA103_12</vt:lpwstr>
  </property>
</Properties>
</file>